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558B2F"/>
          <w:sz w:val="17"/>
        </w:rPr>
        <w:t>BUENAVISTA FLOWERS • DEPARTAMENTO DE TECNOLOGÍA E INNOVACIÓN</w:t>
      </w:r>
    </w:p>
    <w:p>
      <w:pPr>
        <w:spacing w:before="80" w:after="120"/>
      </w:pPr>
      <w:r>
        <w:rPr>
          <w:rFonts w:ascii="Arial" w:hAnsi="Arial"/>
          <w:b/>
          <w:color w:val="1B5E20"/>
          <w:sz w:val="35"/>
        </w:rPr>
        <w:t>INFORME DE INGENIERÍA Y ANÁLISIS DE IMPACTO TÉCNICO</w:t>
        <w:br/>
        <w:t>DESARROLLOS DEL SISTEMA DE SIEMBRAS</w:t>
      </w:r>
    </w:p>
    <w:p>
      <w:pPr>
        <w:spacing w:before="0" w:after="240"/>
      </w:pPr>
      <w:r>
        <w:rPr>
          <w:rFonts w:ascii="Arial" w:hAnsi="Arial"/>
          <w:i/>
          <w:color w:val="37474F"/>
          <w:sz w:val="21"/>
        </w:rPr>
        <w:t>Desglose Funcional, Justificación Agronómica, Mecánica de Operación, Arquitectura Backend</w:t>
        <w:br/>
        <w:t>y Análisis de Riesgo Operativo (¿Qué Pasa si se Quita?) para Cada Componente del Ecosistema</w:t>
      </w:r>
    </w:p>
    <w:tbl>
      <w:tblPr>
        <w:tblW w:type="auto" w:w="0"/>
        <w:jc w:val="center"/>
        <w:tblLayout w:type="fixed"/>
        <w:tblLook w:firstColumn="1" w:firstRow="1" w:lastColumn="0" w:lastRow="0" w:noHBand="0" w:noVBand="1" w:val="04A0"/>
      </w:tblPr>
      <w:tblGrid>
        <w:gridCol w:w="4896"/>
        <w:gridCol w:w="4896"/>
      </w:tblGrid>
      <w:tr>
        <w:tc>
          <w:tcPr>
            <w:tcW w:type="dxa" w:w="3168"/>
            <w:shd w:fill="E8F5E9"/>
            <w:tcMar>
              <w:top w:w="80" w:type="dxa"/>
              <w:bottom w:w="80" w:type="dxa"/>
              <w:left w:w="120" w:type="dxa"/>
              <w:right w:w="120" w:type="dxa"/>
            </w:tcMar>
          </w:tcPr>
          <w:p>
            <w:r>
              <w:rPr>
                <w:rFonts w:ascii="Arial" w:hAnsi="Arial"/>
                <w:b/>
                <w:color w:val="1B5E20"/>
                <w:sz w:val="18"/>
              </w:rPr>
              <w:t>Proyecto / Sistema</w:t>
            </w:r>
          </w:p>
        </w:tc>
        <w:tc>
          <w:tcPr>
            <w:tcW w:type="dxa" w:w="6480"/>
            <w:shd w:fill="FAFAFA"/>
            <w:tcMar>
              <w:top w:w="80" w:type="dxa"/>
              <w:bottom w:w="80" w:type="dxa"/>
              <w:left w:w="120" w:type="dxa"/>
              <w:right w:w="120" w:type="dxa"/>
            </w:tcMar>
          </w:tcPr>
          <w:p>
            <w:r>
              <w:rPr>
                <w:rFonts w:ascii="Arial" w:hAnsi="Arial"/>
                <w:color w:val="263238"/>
                <w:sz w:val="18"/>
              </w:rPr>
              <w:t>Sistema Integral de Siembras Offline-First (Móvil Flutter + Backend FastAPI + MS Access)</w:t>
            </w:r>
          </w:p>
        </w:tc>
      </w:tr>
      <w:tr>
        <w:tc>
          <w:tcPr>
            <w:tcW w:type="dxa" w:w="3168"/>
            <w:shd w:fill="F1F8E9"/>
            <w:tcMar>
              <w:top w:w="80" w:type="dxa"/>
              <w:bottom w:w="80" w:type="dxa"/>
              <w:left w:w="120" w:type="dxa"/>
              <w:right w:w="120" w:type="dxa"/>
            </w:tcMar>
          </w:tcPr>
          <w:p>
            <w:r>
              <w:rPr>
                <w:rFonts w:ascii="Arial" w:hAnsi="Arial"/>
                <w:b/>
                <w:color w:val="1B5E20"/>
                <w:sz w:val="18"/>
              </w:rPr>
              <w:t>Versión Evaluada</w:t>
            </w:r>
          </w:p>
        </w:tc>
        <w:tc>
          <w:tcPr>
            <w:tcW w:type="dxa" w:w="6480"/>
            <w:shd w:fill="FFFFFF"/>
            <w:tcMar>
              <w:top w:w="80" w:type="dxa"/>
              <w:bottom w:w="80" w:type="dxa"/>
              <w:left w:w="120" w:type="dxa"/>
              <w:right w:w="120" w:type="dxa"/>
            </w:tcMar>
          </w:tcPr>
          <w:p>
            <w:r>
              <w:rPr>
                <w:rFonts w:ascii="Arial" w:hAnsi="Arial"/>
                <w:color w:val="263238"/>
                <w:sz w:val="18"/>
              </w:rPr>
              <w:t>Versión 1.1.0 — Compilación de Producción Android + Suite Backend (Octubre 2026)</w:t>
            </w:r>
          </w:p>
        </w:tc>
      </w:tr>
      <w:tr>
        <w:tc>
          <w:tcPr>
            <w:tcW w:type="dxa" w:w="3168"/>
            <w:shd w:fill="E8F5E9"/>
            <w:tcMar>
              <w:top w:w="80" w:type="dxa"/>
              <w:bottom w:w="80" w:type="dxa"/>
              <w:left w:w="120" w:type="dxa"/>
              <w:right w:w="120" w:type="dxa"/>
            </w:tcMar>
          </w:tcPr>
          <w:p>
            <w:r>
              <w:rPr>
                <w:rFonts w:ascii="Arial" w:hAnsi="Arial"/>
                <w:b/>
                <w:color w:val="1B5E20"/>
                <w:sz w:val="18"/>
              </w:rPr>
              <w:t>Ingeniero / Desarrollador</w:t>
            </w:r>
          </w:p>
        </w:tc>
        <w:tc>
          <w:tcPr>
            <w:tcW w:type="dxa" w:w="6480"/>
            <w:shd w:fill="FAFAFA"/>
            <w:tcMar>
              <w:top w:w="80" w:type="dxa"/>
              <w:bottom w:w="80" w:type="dxa"/>
              <w:left w:w="120" w:type="dxa"/>
              <w:right w:w="120" w:type="dxa"/>
            </w:tcMar>
          </w:tcPr>
          <w:p>
            <w:r>
              <w:rPr>
                <w:rFonts w:ascii="Arial" w:hAnsi="Arial"/>
                <w:color w:val="263238"/>
                <w:sz w:val="18"/>
              </w:rPr>
              <w:t>Fernan Julián Pérez Gutiérrez (@FernanJPG1)</w:t>
            </w:r>
          </w:p>
        </w:tc>
      </w:tr>
      <w:tr>
        <w:tc>
          <w:tcPr>
            <w:tcW w:type="dxa" w:w="3168"/>
            <w:shd w:fill="F1F8E9"/>
            <w:tcMar>
              <w:top w:w="80" w:type="dxa"/>
              <w:bottom w:w="80" w:type="dxa"/>
              <w:left w:w="120" w:type="dxa"/>
              <w:right w:w="120" w:type="dxa"/>
            </w:tcMar>
          </w:tcPr>
          <w:p>
            <w:r>
              <w:rPr>
                <w:rFonts w:ascii="Arial" w:hAnsi="Arial"/>
                <w:b/>
                <w:color w:val="1B5E20"/>
                <w:sz w:val="18"/>
              </w:rPr>
              <w:t>Organización Patrocinadora</w:t>
            </w:r>
          </w:p>
        </w:tc>
        <w:tc>
          <w:tcPr>
            <w:tcW w:type="dxa" w:w="6480"/>
            <w:shd w:fill="FFFFFF"/>
            <w:tcMar>
              <w:top w:w="80" w:type="dxa"/>
              <w:bottom w:w="80" w:type="dxa"/>
              <w:left w:w="120" w:type="dxa"/>
              <w:right w:w="120" w:type="dxa"/>
            </w:tcMar>
          </w:tcPr>
          <w:p>
            <w:r>
              <w:rPr>
                <w:rFonts w:ascii="Arial" w:hAnsi="Arial"/>
                <w:color w:val="263238"/>
                <w:sz w:val="18"/>
              </w:rPr>
              <w:t>Buenavista Flowers — Operaciones Agronómicas &amp; Exportación</w:t>
            </w:r>
          </w:p>
        </w:tc>
      </w:tr>
      <w:tr>
        <w:tc>
          <w:tcPr>
            <w:tcW w:type="dxa" w:w="3168"/>
            <w:shd w:fill="E8F5E9"/>
            <w:tcMar>
              <w:top w:w="80" w:type="dxa"/>
              <w:bottom w:w="80" w:type="dxa"/>
              <w:left w:w="120" w:type="dxa"/>
              <w:right w:w="120" w:type="dxa"/>
            </w:tcMar>
          </w:tcPr>
          <w:p>
            <w:r>
              <w:rPr>
                <w:rFonts w:ascii="Arial" w:hAnsi="Arial"/>
                <w:b/>
                <w:color w:val="1B5E20"/>
                <w:sz w:val="18"/>
              </w:rPr>
              <w:t>Componentes Analizados</w:t>
            </w:r>
          </w:p>
        </w:tc>
        <w:tc>
          <w:tcPr>
            <w:tcW w:type="dxa" w:w="6480"/>
            <w:shd w:fill="FAFAFA"/>
            <w:tcMar>
              <w:top w:w="80" w:type="dxa"/>
              <w:bottom w:w="80" w:type="dxa"/>
              <w:left w:w="120" w:type="dxa"/>
              <w:right w:w="120" w:type="dxa"/>
            </w:tcMar>
          </w:tcPr>
          <w:p>
            <w:r>
              <w:rPr>
                <w:rFonts w:ascii="Arial" w:hAnsi="Arial"/>
                <w:color w:val="263238"/>
                <w:sz w:val="18"/>
              </w:rPr>
              <w:t>División Bilateral, Modo Mixto, Áreas de Propagación, Motor Rendimiento, Inmutabilidad 48h, PDF Gamificado y Servidor Backend</w:t>
            </w:r>
          </w:p>
        </w:tc>
      </w:tr>
      <w:tr>
        <w:tc>
          <w:tcPr>
            <w:tcW w:type="dxa" w:w="3168"/>
            <w:shd w:fill="F1F8E9"/>
            <w:tcMar>
              <w:top w:w="80" w:type="dxa"/>
              <w:bottom w:w="80" w:type="dxa"/>
              <w:left w:w="120" w:type="dxa"/>
              <w:right w:w="120" w:type="dxa"/>
            </w:tcMar>
          </w:tcPr>
          <w:p>
            <w:r>
              <w:rPr>
                <w:rFonts w:ascii="Arial" w:hAnsi="Arial"/>
                <w:b/>
                <w:color w:val="1B5E20"/>
                <w:sz w:val="18"/>
              </w:rPr>
              <w:t>Propósito del Documento</w:t>
            </w:r>
          </w:p>
        </w:tc>
        <w:tc>
          <w:tcPr>
            <w:tcW w:type="dxa" w:w="6480"/>
            <w:shd w:fill="FFFFFF"/>
            <w:tcMar>
              <w:top w:w="80" w:type="dxa"/>
              <w:bottom w:w="80" w:type="dxa"/>
              <w:left w:w="120" w:type="dxa"/>
              <w:right w:w="120" w:type="dxa"/>
            </w:tcMar>
          </w:tcPr>
          <w:p>
            <w:r>
              <w:rPr>
                <w:rFonts w:ascii="Arial" w:hAnsi="Arial"/>
                <w:color w:val="263238"/>
                <w:sz w:val="18"/>
              </w:rPr>
              <w:t>Explicación exhaustiva de componentes: ¿Qué se desarrolló?, ¿Para qué sirve?, ¿Cómo funciona? y ¿Qué pasa si se quita?</w:t>
            </w:r>
          </w:p>
        </w:tc>
      </w:tr>
    </w:tbl>
    <w:p>
      <w:pPr>
        <w:spacing w:before="200" w:after="160"/>
      </w:pPr>
    </w:p>
    <w:p>
      <w:pPr>
        <w:spacing w:before="120" w:after="120"/>
      </w:pPr>
      <w:r>
        <w:rPr>
          <w:rFonts w:ascii="Arial" w:hAnsi="Arial"/>
          <w:b/>
          <w:color w:val="1B5E20"/>
          <w:sz w:val="25"/>
        </w:rPr>
        <w:t>ÍNDICE ESTRUCTURADO DEL DOCUMENTO</w:t>
      </w:r>
    </w:p>
    <w:p>
      <w:pPr>
        <w:pStyle w:val="ListBullet"/>
        <w:spacing w:before="20" w:after="40"/>
      </w:pPr>
      <w:r>
        <w:rPr>
          <w:rFonts w:ascii="Arial" w:hAnsi="Arial"/>
          <w:b w:val="0"/>
          <w:color w:val="263238"/>
          <w:sz w:val="19"/>
        </w:rPr>
        <w:t>1. Módulo de División Bilateral de Camas (Pompón 13/12 y Cremón 11/11)</w:t>
      </w:r>
    </w:p>
    <w:p>
      <w:pPr>
        <w:pStyle w:val="ListBullet"/>
        <w:spacing w:before="20" w:after="40"/>
      </w:pPr>
      <w:r>
        <w:rPr>
          <w:rFonts w:ascii="Arial" w:hAnsi="Arial"/>
          <w:b w:val="0"/>
          <w:color w:val="263238"/>
          <w:sz w:val="19"/>
        </w:rPr>
        <w:t>2. Módulo de Régimen Transversal y Cambio de Lado ('Pasó al otro lado' / Siembra Mixta)</w:t>
      </w:r>
    </w:p>
    <w:p>
      <w:pPr>
        <w:pStyle w:val="ListBullet"/>
        <w:spacing w:before="20" w:after="40"/>
      </w:pPr>
      <w:r>
        <w:rPr>
          <w:rFonts w:ascii="Arial" w:hAnsi="Arial"/>
          <w:b w:val="0"/>
          <w:color w:val="263238"/>
          <w:sz w:val="19"/>
        </w:rPr>
        <w:t>3. Módulo de Desacoplamiento de Sembrador en Áreas de Propagación (Plantas Madre, Bancos y Núcleos)</w:t>
      </w:r>
    </w:p>
    <w:p>
      <w:pPr>
        <w:pStyle w:val="ListBullet"/>
        <w:spacing w:before="20" w:after="40"/>
      </w:pPr>
      <w:r>
        <w:rPr>
          <w:rFonts w:ascii="Arial" w:hAnsi="Arial"/>
          <w:b w:val="0"/>
          <w:color w:val="263238"/>
          <w:sz w:val="19"/>
        </w:rPr>
        <w:t>4. Módulo de Exclusión Analítica de Propagación en el Motor de Rendimiento y Reportes</w:t>
      </w:r>
    </w:p>
    <w:p>
      <w:pPr>
        <w:pStyle w:val="ListBullet"/>
        <w:spacing w:before="20" w:after="40"/>
      </w:pPr>
      <w:r>
        <w:rPr>
          <w:rFonts w:ascii="Arial" w:hAnsi="Arial"/>
          <w:b w:val="0"/>
          <w:color w:val="263238"/>
          <w:sz w:val="19"/>
        </w:rPr>
        <w:t>5. Módulo de Política de Inmutabilidad Temporal y Bloqueo Transaccional a 2 Días (48 Horas)</w:t>
      </w:r>
    </w:p>
    <w:p>
      <w:pPr>
        <w:pStyle w:val="ListBullet"/>
        <w:spacing w:before="20" w:after="40"/>
      </w:pPr>
      <w:r>
        <w:rPr>
          <w:rFonts w:ascii="Arial" w:hAnsi="Arial"/>
          <w:b w:val="0"/>
          <w:color w:val="263238"/>
          <w:sz w:val="19"/>
        </w:rPr>
        <w:t>6. Módulo de Gamificación, Podio de Medallas y Reportes Ejecutivos en PDF</w:t>
      </w:r>
    </w:p>
    <w:p>
      <w:pPr>
        <w:pStyle w:val="ListBullet"/>
        <w:spacing w:before="20" w:after="40"/>
      </w:pPr>
      <w:r>
        <w:rPr>
          <w:rFonts w:ascii="Arial" w:hAnsi="Arial"/>
          <w:b/>
          <w:color w:val="263238"/>
          <w:sz w:val="19"/>
        </w:rPr>
        <w:t>7. Módulo del Servidor Backend e Iniciar Backend (iniciar_backend.bat, FastAPI, Uvicorn, Detección de IP y Sincronización en Access)</w:t>
      </w:r>
    </w:p>
    <w:p>
      <w:pPr>
        <w:pStyle w:val="ListBullet"/>
        <w:spacing w:before="20" w:after="40"/>
      </w:pPr>
      <w:r>
        <w:rPr>
          <w:rFonts w:ascii="Arial" w:hAnsi="Arial"/>
          <w:b/>
          <w:color w:val="263238"/>
          <w:sz w:val="19"/>
        </w:rPr>
        <w:t>8. Matriz Comparativa de Riesgo e Impacto Cruzado: ¿Qué Pasa si se Quita Cada Módulo?</w:t>
      </w:r>
    </w:p>
    <w:p>
      <w:pPr>
        <w:pStyle w:val="ListBullet"/>
        <w:spacing w:before="20" w:after="40"/>
      </w:pPr>
      <w:r>
        <w:rPr>
          <w:rFonts w:ascii="Arial" w:hAnsi="Arial"/>
          <w:b w:val="0"/>
          <w:color w:val="263238"/>
          <w:sz w:val="19"/>
        </w:rPr>
        <w:t>9. Conclusiones, Arquitectura Integral y Dictamen de Calidad de Software</w:t>
      </w:r>
    </w:p>
    <w:p>
      <w:pPr>
        <w:spacing w:before="160" w:after="160"/>
      </w:pPr>
    </w:p>
    <w:p>
      <w:pPr>
        <w:keepNext/>
        <w:spacing w:before="280" w:after="120"/>
      </w:pPr>
      <w:r>
        <w:rPr>
          <w:rFonts w:ascii="Arial" w:hAnsi="Arial"/>
          <w:b/>
          <w:color w:val="1B5E20"/>
          <w:sz w:val="28"/>
        </w:rPr>
        <w:t>1. Módulo de División Bilateral de Camas (Pompón y Cremón)</w:t>
      </w:r>
    </w:p>
    <w:tbl>
      <w:tblPr>
        <w:tblW w:type="auto" w:w="0"/>
        <w:jc w:val="center"/>
        <w:tblLayout w:type="fixed"/>
        <w:tblLook w:firstColumn="1" w:firstRow="1" w:lastColumn="0" w:lastRow="0" w:noHBand="0" w:noVBand="1" w:val="04A0"/>
      </w:tblPr>
      <w:tblGrid>
        <w:gridCol w:w="9792"/>
      </w:tblGrid>
      <w:tr>
        <w:tc>
          <w:tcPr>
            <w:tcW w:type="dxa" w:w="9360"/>
            <w:shd w:fill="E8F5E9"/>
            <w:tcMar>
              <w:top w:w="140" w:type="dxa"/>
              <w:bottom w:w="140" w:type="dxa"/>
              <w:left w:w="200" w:type="dxa"/>
              <w:right w:w="200" w:type="dxa"/>
            </w:tcMar>
            <w:tcBorders>
              <w:left w:val="single" w:sz="36" w:space="0" w:color="2E7D32"/>
              <w:top w:val="none"/>
              <w:right w:val="none"/>
              <w:bottom w:val="none"/>
            </w:tcBorders>
          </w:tcPr>
          <w:p>
            <w:pPr>
              <w:spacing w:before="40" w:after="80"/>
            </w:pPr>
            <w:r>
              <w:rPr>
                <w:rFonts w:ascii="Arial" w:hAnsi="Arial"/>
                <w:b/>
                <w:color w:val="2E7D32"/>
                <w:sz w:val="21"/>
              </w:rPr>
              <w:t>🌱 Principio Agronómico de la Cama Dividida</w:t>
              <w:br/>
            </w:r>
          </w:p>
          <w:p>
            <w:pPr>
              <w:spacing w:before="0" w:after="40" w:line="276" w:lineRule="auto"/>
            </w:pPr>
            <w:r>
              <w:rPr>
                <w:rFonts w:ascii="Arial" w:hAnsi="Arial"/>
                <w:color w:val="333333"/>
                <w:sz w:val="19"/>
              </w:rPr>
              <w:t>En los invernaderos comerciales de Buenavista Flowers, una cama de flores estándar no es sembrada por una sola persona avanzando sobre toda la superficie. Físicamente se siembra por cuadrillas de dos sembradores ubicados en costados opuestos (Lado A y Lado B). Debido a la disposición de las mallas y las líneas de goteros, la densidad física por línea varía entre cada lado.</w:t>
            </w:r>
          </w:p>
        </w:tc>
      </w:tr>
    </w:tbl>
    <w:p>
      <w:pPr>
        <w:spacing w:before="0" w:after="80"/>
      </w:pPr>
    </w:p>
    <w:p>
      <w:pPr>
        <w:keepNext/>
        <w:spacing w:before="160" w:after="60"/>
      </w:pPr>
      <w:r>
        <w:rPr>
          <w:rFonts w:ascii="Arial" w:hAnsi="Arial"/>
          <w:b/>
          <w:color w:val="558B2F"/>
          <w:sz w:val="22"/>
        </w:rPr>
        <w:t>1.1 ¿Qué se desarrolló?</w:t>
      </w:r>
    </w:p>
    <w:p>
      <w:pPr>
        <w:spacing w:before="40" w:after="100" w:line="276" w:lineRule="auto"/>
      </w:pPr>
      <w:r>
        <w:rPr>
          <w:rFonts w:ascii="Arial" w:hAnsi="Arial"/>
          <w:color w:val="263238"/>
          <w:sz w:val="19"/>
        </w:rPr>
        <w:t>Se implementó una arquitectura de partición bilateral en el formulario de captura móvil (lib/screens/form_siembra_pompon_screen.dart) que reconoce la geometría de la cama y permite registrar individualmente la labor de cada sembrador según el lado físico asignado:</w:t>
        <w:br/>
        <w:t>• Para Pompón: Total de 25 esquejes por línea (Lado A = 13 esquejes/línea | Lado B = 12 esquejes/línea).</w:t>
        <w:br/>
        <w:t>• Para Cremón: Total de 22 esquejes por línea (Lado A = 11 esquejes/línea | Lado B = 11 esquejes/línea).</w:t>
        <w:br/>
        <w:t>• Se integró un selector táctil animado con cuatro opciones: [Lado A], [Lado B], [Cama Completa] y [Pasó al otro lado].</w:t>
        <w:br/>
        <w:t>• Se diseñó un banner dinámico de fórmula que muestra en tiempo real la multiplicación matemática exacta del lado activo.</w:t>
      </w:r>
    </w:p>
    <w:p>
      <w:pPr>
        <w:keepNext/>
        <w:spacing w:before="160" w:after="60"/>
      </w:pPr>
      <w:r>
        <w:rPr>
          <w:rFonts w:ascii="Arial" w:hAnsi="Arial"/>
          <w:b/>
          <w:color w:val="558B2F"/>
          <w:sz w:val="22"/>
        </w:rPr>
        <w:t>1.2 ¿Para qué sirve?</w:t>
      </w:r>
    </w:p>
    <w:p>
      <w:pPr>
        <w:spacing w:before="40" w:after="100" w:line="276" w:lineRule="auto"/>
      </w:pPr>
      <w:r>
        <w:rPr>
          <w:rFonts w:ascii="Arial" w:hAnsi="Arial"/>
          <w:color w:val="263238"/>
          <w:sz w:val="19"/>
        </w:rPr>
        <w:t>Sirve para eliminar las discrepancias de inventario vegetal y saldar con absoluta equidad la nómina y el rendimiento de los trabajadores:</w:t>
        <w:br/>
        <w:t>• Elimina el error tradicional donde se promediaban 25 esquejes entre dos operarios (12.5 ficticio) generando descuadres contables.</w:t>
        <w:br/>
        <w:t>• Reconoce que quien sembró el Lado A en pompón plantó 13 esquejes por cada línea, mientras que quien sembró el Lado B plantó 12. En una cama de 130 líneas, esto representa 1.690 esquejes en el Lado A contra 1.560 en el Lado B (una diferencia real de 130 plantas por cama).</w:t>
        <w:br/>
        <w:t>• Permite registrar el avance individual de cada sembrador inmediatamente al terminar su costado sin esperar a que el compañero termine.</w:t>
      </w:r>
    </w:p>
    <w:p>
      <w:pPr>
        <w:keepNext/>
        <w:spacing w:before="160" w:after="60"/>
      </w:pPr>
      <w:r>
        <w:rPr>
          <w:rFonts w:ascii="Arial" w:hAnsi="Arial"/>
          <w:b/>
          <w:color w:val="558B2F"/>
          <w:sz w:val="22"/>
        </w:rPr>
        <w:t>1.3 ¿Cómo funciona?</w:t>
      </w:r>
    </w:p>
    <w:p>
      <w:pPr>
        <w:spacing w:before="40" w:after="100" w:line="276" w:lineRule="auto"/>
      </w:pPr>
      <w:r>
        <w:rPr>
          <w:rFonts w:ascii="Arial" w:hAnsi="Arial"/>
          <w:color w:val="263238"/>
          <w:sz w:val="19"/>
        </w:rPr>
        <w:t>1. Detección Inteligente del Cultivo: El getter _tieneDivisionDosLados identifica si el cultivo actual es Pompón o Cremón (tanto por nombre de cultivo como por familia botánica en el catálogo).</w:t>
        <w:br/>
        <w:t>2. Asignación de Parámetros: Los getters _densidadLadoA y _densidadLadoB devuelven 13 y 12 para Pompón, o 11 y 11 para Cremón.</w:t>
        <w:br/>
        <w:t>3. Recálculo Reactivo (_recalcularTallosPorLineas): Al digitar el número de líneas, el sistema evalúa el estado de _ladoSeleccionado:</w:t>
        <w:br/>
        <w:t xml:space="preserve">   - Si es 'LADO_A': Tallos = Líneas × _densidadLadoA.</w:t>
        <w:br/>
        <w:t xml:space="preserve">   - Si es 'LADO_B': Tallos = Líneas × _densidadLadoB.</w:t>
        <w:br/>
        <w:t xml:space="preserve">   - Si es 'AMBOS': Tallos = Líneas × (_densidadLadoA + _densidadLadoB) [25 o 22].</w:t>
        <w:br/>
        <w:t>4. Persistencia en Base de Datos: Al guardar, se inyecta en el campo observaciones la etiqueta formal 'LADO A (13 esq/lín)' o 'LADO B (12 esq/lín)', asegurando trazabilidad plena en SQLite local y en las tablas de Microsoft Access al sincronizar.</w:t>
      </w:r>
    </w:p>
    <w:p>
      <w:pPr>
        <w:keepNext/>
        <w:spacing w:before="160" w:after="60"/>
      </w:pPr>
      <w:r>
        <w:rPr>
          <w:rFonts w:ascii="Arial" w:hAnsi="Arial"/>
          <w:b/>
          <w:color w:val="558B2F"/>
          <w:sz w:val="22"/>
        </w:rPr>
        <w:t>1.4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Críticas si se Elimina la División Bilateral</w:t>
              <w:br/>
            </w:r>
          </w:p>
          <w:p>
            <w:pPr>
              <w:spacing w:before="0" w:after="40" w:line="276" w:lineRule="auto"/>
            </w:pPr>
            <w:r>
              <w:rPr>
                <w:rFonts w:ascii="Arial" w:hAnsi="Arial"/>
                <w:color w:val="333333"/>
                <w:sz w:val="19"/>
              </w:rPr>
              <w:t>• Descuadre Sistemático de Inventario: Se generarían diferencias de cientos de miles de esquejes al mes entre lo reportado en las planillas y el conteo físico en campo.</w:t>
              <w:br/>
              <w:t>• Injusticia en la Nómina Laboral: El sembrador del Lado A (que siembra 13 esquejes/línea) recibiría la misma remuneración que quien siembra 12 en el Lado B, provocando quejas y reclamos de los trabajadores.</w:t>
              <w:br/>
              <w:t>• Imposibilidad de Siembra Asíncrona: Forzaría a que ambos sembradores tengan que registrar juntos la cama completa obligatoriamente, perdiéndose la captura en tiempo real cuando uno se va a almorzar, se enferma o es reubicado.</w:t>
            </w:r>
          </w:p>
        </w:tc>
      </w:tr>
    </w:tbl>
    <w:p>
      <w:pPr>
        <w:spacing w:before="0" w:after="80"/>
      </w:pPr>
    </w:p>
    <w:p>
      <w:pPr>
        <w:keepNext/>
        <w:spacing w:before="280" w:after="120"/>
      </w:pPr>
      <w:r>
        <w:rPr>
          <w:rFonts w:ascii="Arial" w:hAnsi="Arial"/>
          <w:b/>
          <w:color w:val="1B5E20"/>
          <w:sz w:val="28"/>
        </w:rPr>
        <w:t>2. Módulo de Régimen Transversal y Cambio de Lado ('Pasó al otro lado' / Siembra Mixta)</w:t>
      </w:r>
    </w:p>
    <w:p>
      <w:pPr>
        <w:keepNext/>
        <w:spacing w:before="160" w:after="60"/>
      </w:pPr>
      <w:r>
        <w:rPr>
          <w:rFonts w:ascii="Arial" w:hAnsi="Arial"/>
          <w:b/>
          <w:color w:val="558B2F"/>
          <w:sz w:val="22"/>
        </w:rPr>
        <w:t>2.1 ¿Qué se desarrolló?</w:t>
      </w:r>
    </w:p>
    <w:p>
      <w:pPr>
        <w:spacing w:before="40" w:after="100" w:line="276" w:lineRule="auto"/>
      </w:pPr>
      <w:r>
        <w:rPr>
          <w:rFonts w:ascii="Arial" w:hAnsi="Arial"/>
          <w:color w:val="263238"/>
          <w:sz w:val="19"/>
        </w:rPr>
        <w:t>Se diseñó una funcionalidad de siembra mixta transversal activada mediante el botón 'Pasó al otro lado'. Cuando este modo se activa, la interfaz transforma el campo único de líneas en dos entradas numéricas independientes: 'Líneas Lado A' y 'Líneas Lado B', con controladores separados (_lineasLadoAController y _lineasLadoBController) y un banner de cálculo dinámico ponderado.</w:t>
      </w:r>
    </w:p>
    <w:p>
      <w:pPr>
        <w:keepNext/>
        <w:spacing w:before="160" w:after="60"/>
      </w:pPr>
      <w:r>
        <w:rPr>
          <w:rFonts w:ascii="Arial" w:hAnsi="Arial"/>
          <w:b/>
          <w:color w:val="558B2F"/>
          <w:sz w:val="22"/>
        </w:rPr>
        <w:t>2.2 ¿Para qué sirve?</w:t>
      </w:r>
    </w:p>
    <w:p>
      <w:pPr>
        <w:spacing w:before="40" w:after="100" w:line="276" w:lineRule="auto"/>
      </w:pPr>
      <w:r>
        <w:rPr>
          <w:rFonts w:ascii="Arial" w:hAnsi="Arial"/>
          <w:color w:val="263238"/>
          <w:sz w:val="19"/>
        </w:rPr>
        <w:t>Resuelve un escenario cotidiano en los invernaderos: los sembradores no avanzan a la misma velocidad. Si el sembrador del Lado A es más rápido y termina sus 130 líneas mientras a su compañero en el Lado B aún le faltan 30 líneas, el trabajador más rápido no se queda de brazos cruzados: se cruza al Lado B y siembra esas 30 líneas faltantes para que la cama quede lista.</w:t>
        <w:br/>
        <w:t>Esta función permite reconocer y liquidar exactamente las líneas sembradas en su lado original (a 13 o 11 esq/l) más las líneas sembradas en el lado opuesto (a 12 o 11 esq/l) en un solo registro transparente y auditado.</w:t>
      </w:r>
    </w:p>
    <w:p>
      <w:pPr>
        <w:keepNext/>
        <w:spacing w:before="160" w:after="60"/>
      </w:pPr>
      <w:r>
        <w:rPr>
          <w:rFonts w:ascii="Arial" w:hAnsi="Arial"/>
          <w:b/>
          <w:color w:val="558B2F"/>
          <w:sz w:val="22"/>
        </w:rPr>
        <w:t>2.3 ¿Cómo funciona?</w:t>
      </w:r>
    </w:p>
    <w:p>
      <w:pPr>
        <w:spacing w:before="40" w:after="100" w:line="276" w:lineRule="auto"/>
      </w:pPr>
      <w:r>
        <w:rPr>
          <w:rFonts w:ascii="Arial" w:hAnsi="Arial"/>
          <w:color w:val="263238"/>
          <w:sz w:val="19"/>
        </w:rPr>
        <w:t>1. Conmutación de Modo: Al presionar [Pasó al otro lado], el estado _ladoSeleccionado pasa a 'MIXTO'.</w:t>
        <w:br/>
        <w:t>2. Transformación de UI: Se oculta el campo simple de líneas y se renderiza un Row con dos TextFormFields: [Lado A (13 esq/l)] y [Lado B (12 esq/l)].</w:t>
        <w:br/>
        <w:t>3. Algoritmo de Cálculo Ponderado:</w:t>
        <w:br/>
        <w:t xml:space="preserve">       Total Tallos = (Líneas_A × Densidad_A) + (Líneas_B × Densidad_B)</w:t>
        <w:br/>
        <w:t xml:space="preserve">       Líneas Totales de Referencia = max(Líneas_A, Líneas_B)</w:t>
        <w:br/>
        <w:t>4. Alerta de Sobredensidad Integrada: Si la sumatoria supera el umbral máximo de la cama (4.050 en pompón, 3.645 en cremón), el banner se tiñe de rojo advirtiendo el exceso antes de intentar guardar.</w:t>
        <w:br/>
        <w:t>5. Auditoría en Base de Datos: El sistema serializa automáticamente la cadena: 'MIXTO: Lado A (X lín) + Lado B (Y lín)', anexándola a la etiqueta de Clon en el campo observaciones.</w:t>
      </w:r>
    </w:p>
    <w:p>
      <w:pPr>
        <w:keepNext/>
        <w:spacing w:before="160" w:after="60"/>
      </w:pPr>
      <w:r>
        <w:rPr>
          <w:rFonts w:ascii="Arial" w:hAnsi="Arial"/>
          <w:b/>
          <w:color w:val="558B2F"/>
          <w:sz w:val="22"/>
        </w:rPr>
        <w:t>2.4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Críticas si se Elimina el Modo Mixto</w:t>
              <w:br/>
            </w:r>
          </w:p>
          <w:p>
            <w:pPr>
              <w:spacing w:before="0" w:after="40" w:line="276" w:lineRule="auto"/>
            </w:pPr>
            <w:r>
              <w:rPr>
                <w:rFonts w:ascii="Arial" w:hAnsi="Arial"/>
                <w:color w:val="333333"/>
                <w:sz w:val="19"/>
              </w:rPr>
              <w:t>• Obligación de Falsear Datos: Los supervisores tendrían que obligar al sembrador a 'inventar' líneas en un solo lado o hacer cálculos manuales con lápiz y papel para cuadrar el número de esquejes.</w:t>
              <w:br/>
              <w:t>• Desmotivación Laboral: El sembrador que ayuda a su compañero no tendría cómo demostrar qué líneas hizo en el otro lado y sus horas o rendimiento quedarían subestimados.</w:t>
              <w:br/>
              <w:t>• Corrupción de Trazabilidad: Se perdería la certeza de qué sembrador fue responsable de la calidad del prendimiento en las líneas finales de la cama ante una auditoría fitosanitaria.</w:t>
            </w:r>
          </w:p>
        </w:tc>
      </w:tr>
    </w:tbl>
    <w:p>
      <w:pPr>
        <w:spacing w:before="0" w:after="80"/>
      </w:pPr>
    </w:p>
    <w:p>
      <w:pPr>
        <w:keepNext/>
        <w:spacing w:before="280" w:after="120"/>
      </w:pPr>
      <w:r>
        <w:rPr>
          <w:rFonts w:ascii="Arial" w:hAnsi="Arial"/>
          <w:b/>
          <w:color w:val="1B5E20"/>
          <w:sz w:val="28"/>
        </w:rPr>
        <w:t>3. Módulo de Desacoplamiento de Sembrador en Áreas de Propagación (Plantas Madre, Bancos y Núcleos)</w:t>
      </w:r>
    </w:p>
    <w:p>
      <w:pPr>
        <w:keepNext/>
        <w:spacing w:before="160" w:after="60"/>
      </w:pPr>
      <w:r>
        <w:rPr>
          <w:rFonts w:ascii="Arial" w:hAnsi="Arial"/>
          <w:b/>
          <w:color w:val="558B2F"/>
          <w:sz w:val="22"/>
        </w:rPr>
        <w:t>3.1 ¿Qué se desarrolló?</w:t>
      </w:r>
    </w:p>
    <w:p>
      <w:pPr>
        <w:spacing w:before="40" w:after="100" w:line="276" w:lineRule="auto"/>
      </w:pPr>
      <w:r>
        <w:rPr>
          <w:rFonts w:ascii="Arial" w:hAnsi="Arial"/>
          <w:color w:val="263238"/>
          <w:sz w:val="19"/>
        </w:rPr>
        <w:t>Se implementó el desacoplamiento completo del componente de selección de operario en las áreas de propagación vegetal:</w:t>
        <w:br/>
        <w:t>• Detección automática: El getter _esPlantaMadreOBancoONucleo identifica si el formulario corresponde a Planta Madre, Bancos o Núcleos.</w:t>
        <w:br/>
        <w:t>• Supresión de Interfaz: El DropdownButton de operarios y el switch 'Fijar' se ocultan por completo y se sustituyen por un banner informativo institucional: 'Área Especial: Sin asignación de sembrador individual'.</w:t>
        <w:br/>
        <w:t>• Bypass de Validación: El método _guardarSiembra exonera a estas áreas de la obligatoriedad de tener un operario seleccionado.</w:t>
        <w:br/>
        <w:t>• Identificación Neutral: En la persistencia local y en el dashboard se almacena operarioId = 0 y se presenta con la etiqueta 'Sin Sembrador'.</w:t>
      </w:r>
    </w:p>
    <w:p>
      <w:pPr>
        <w:keepNext/>
        <w:spacing w:before="160" w:after="60"/>
      </w:pPr>
      <w:r>
        <w:rPr>
          <w:rFonts w:ascii="Arial" w:hAnsi="Arial"/>
          <w:b/>
          <w:color w:val="558B2F"/>
          <w:sz w:val="22"/>
        </w:rPr>
        <w:t>3.2 ¿Para qué sirve?</w:t>
      </w:r>
    </w:p>
    <w:p>
      <w:pPr>
        <w:spacing w:before="40" w:after="100" w:line="276" w:lineRule="auto"/>
      </w:pPr>
      <w:r>
        <w:rPr>
          <w:rFonts w:ascii="Arial" w:hAnsi="Arial"/>
          <w:color w:val="263238"/>
          <w:sz w:val="19"/>
        </w:rPr>
        <w:t>Las plantas madre, los bancos de enraizamiento y los núcleos élite son áreas técnicas de multiplicación y custodia genética, no son camas de siembra comercial orientadas a corte de exportación:</w:t>
        <w:br/>
        <w:t>• En estas áreas trabajan cuadrillas técnicas rotativas, injertadores o fitopatólogos encargados del mantenimiento del banco de germoplasma.</w:t>
        <w:br/>
        <w:t>• Obligar a elegir un sembrador estándar obligaba a los supervisores a 'culpar' a un trabajador aleatorio o crear un usuario ficticio en el sistema, ensuciando la base de datos empresarial de nómina.</w:t>
      </w:r>
    </w:p>
    <w:p>
      <w:pPr>
        <w:keepNext/>
        <w:spacing w:before="160" w:after="60"/>
      </w:pPr>
      <w:r>
        <w:rPr>
          <w:rFonts w:ascii="Arial" w:hAnsi="Arial"/>
          <w:b/>
          <w:color w:val="558B2F"/>
          <w:sz w:val="22"/>
        </w:rPr>
        <w:t>3.3 ¿Cómo funciona?</w:t>
      </w:r>
    </w:p>
    <w:p>
      <w:pPr>
        <w:spacing w:before="40" w:after="100" w:line="276" w:lineRule="auto"/>
      </w:pPr>
      <w:r>
        <w:rPr>
          <w:rFonts w:ascii="Arial" w:hAnsi="Arial"/>
          <w:color w:val="263238"/>
          <w:sz w:val="19"/>
        </w:rPr>
        <w:t>1. En lib/screens/form_siembra_pompon_screen.dart:</w:t>
        <w:br/>
        <w:t xml:space="preserve">   Widget _buildCampoOperario() {</w:t>
        <w:br/>
        <w:t xml:space="preserve">       if (_esPlantaMadreOBancoONucleo) return const SizedBox.shrink();</w:t>
        <w:br/>
        <w:t xml:space="preserve">       ...</w:t>
        <w:br/>
        <w:t xml:space="preserve">   }</w:t>
        <w:br/>
        <w:t>2. En la validación de guardado: if (!_esPlantaMadreOBancoONucleo &amp;&amp; _operarioSeleccionado == null) bloquea el registro; pero si es planta madre, permite continuar con operarioId = 0.</w:t>
        <w:br/>
        <w:t>3. En lib/screens/dashboard_screen.dart: En la tabla horizontal y en las tarjetas móviles, cuando el registro tiene operarioId &lt;= 0, se visualiza de forma limpia como 'Sin Sembrador' (en vez de mostrar '0' o un error nulo).</w:t>
      </w:r>
    </w:p>
    <w:p>
      <w:pPr>
        <w:keepNext/>
        <w:spacing w:before="160" w:after="60"/>
      </w:pPr>
      <w:r>
        <w:rPr>
          <w:rFonts w:ascii="Arial" w:hAnsi="Arial"/>
          <w:b/>
          <w:color w:val="558B2F"/>
          <w:sz w:val="22"/>
        </w:rPr>
        <w:t>3.4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Críticas si se Elimina la Supresión de Sembrador</w:t>
              <w:br/>
            </w:r>
          </w:p>
          <w:p>
            <w:pPr>
              <w:spacing w:before="0" w:after="40" w:line="276" w:lineRule="auto"/>
            </w:pPr>
            <w:r>
              <w:rPr>
                <w:rFonts w:ascii="Arial" w:hAnsi="Arial"/>
                <w:color w:val="333333"/>
                <w:sz w:val="19"/>
              </w:rPr>
              <w:t>• Bloqueo Innecesario de Captura: La app exigiría obligatoriamente seleccionar un operario, impidiendo registrar labores en bancos y plantas madre a menos que se use un empleado ficticio.</w:t>
              <w:br/>
              <w:t>• Contaminación de Datos de Nómina: Asignar un trabajador a una labor de planta madre generaría inconsistencias en Access al cruzar con los reportes de Recursos Humanos de Buenavista Flowers.</w:t>
              <w:br/>
              <w:t>• Experiencia de Usuario Degenerada: El operario vería 'Operario #0' en las tablas, generando confusión y apariencia de error de software.</w:t>
            </w:r>
          </w:p>
        </w:tc>
      </w:tr>
    </w:tbl>
    <w:p>
      <w:pPr>
        <w:spacing w:before="0" w:after="80"/>
      </w:pPr>
    </w:p>
    <w:p>
      <w:pPr>
        <w:keepNext/>
        <w:spacing w:before="280" w:after="120"/>
      </w:pPr>
      <w:r>
        <w:rPr>
          <w:rFonts w:ascii="Arial" w:hAnsi="Arial"/>
          <w:b/>
          <w:color w:val="1B5E20"/>
          <w:sz w:val="28"/>
        </w:rPr>
        <w:t>4. Módulo de Exclusión Analítica de Propagación en el Motor de Rendimiento</w:t>
      </w:r>
    </w:p>
    <w:p>
      <w:pPr>
        <w:keepNext/>
        <w:spacing w:before="160" w:after="60"/>
      </w:pPr>
      <w:r>
        <w:rPr>
          <w:rFonts w:ascii="Arial" w:hAnsi="Arial"/>
          <w:b/>
          <w:color w:val="558B2F"/>
          <w:sz w:val="22"/>
        </w:rPr>
        <w:t>4.1 ¿Qué se desarrolló?</w:t>
      </w:r>
    </w:p>
    <w:p>
      <w:pPr>
        <w:spacing w:before="40" w:after="100" w:line="276" w:lineRule="auto"/>
      </w:pPr>
      <w:r>
        <w:rPr>
          <w:rFonts w:ascii="Arial" w:hAnsi="Arial"/>
          <w:color w:val="263238"/>
          <w:sz w:val="19"/>
        </w:rPr>
        <w:t>Se blindó el motor central de analítica de productividad para excluir de raíz cualquier siembra asociada a propagación especial:</w:t>
        <w:br/>
        <w:t>• En lib/models/entidades.dart (método RendimientoOperario.calcular): Se añadieron filtros que descartan registros con operarioId &lt;= 0 o cuyos campos de cultivo, variedad, observaciones o corte contengan 'MADRE', 'BANCO' o 'NÚCLEO'.</w:t>
        <w:br/>
        <w:t>• En lib/screens/rendimiento_dialog.dart: El método _filtrarSiembras y las llamadas de generación de reportes excluyen estas áreas.</w:t>
        <w:br/>
        <w:t>• En lib/services/reporte_service.dart: Los cuatro generadores de reportes PDF oficiales (consolidado, por variedad, por operario y por bloque) filtran automáticamente estas siembras especiales.</w:t>
      </w:r>
    </w:p>
    <w:p>
      <w:pPr>
        <w:keepNext/>
        <w:spacing w:before="160" w:after="60"/>
      </w:pPr>
      <w:r>
        <w:rPr>
          <w:rFonts w:ascii="Arial" w:hAnsi="Arial"/>
          <w:b/>
          <w:color w:val="558B2F"/>
          <w:sz w:val="22"/>
        </w:rPr>
        <w:t>4.2 ¿Para qué sirve?</w:t>
      </w:r>
    </w:p>
    <w:p>
      <w:pPr>
        <w:spacing w:before="40" w:after="100" w:line="276" w:lineRule="auto"/>
      </w:pPr>
      <w:r>
        <w:rPr>
          <w:rFonts w:ascii="Arial" w:hAnsi="Arial"/>
          <w:color w:val="263238"/>
          <w:sz w:val="19"/>
        </w:rPr>
        <w:t>Sirve para proteger la exactitud de los indicadores clave de desempeño (KPIs) y la equidad de las bonificaciones laborales:</w:t>
        <w:br/>
        <w:t>• En plantas madre o bancos se siembran pocas plantas por cama con un cuidado manual meticuloso y desinfección estricta. Si esto se incluyera en el rendimiento, el promedio de velocidad del trabajador caería estrepitosamente a niveles inaceptables (castigo injusto).</w:t>
        <w:br/>
        <w:t>• Garantiza que las tablas de clasificación (Top 1, Top 2, Top 3) y los reportes PDF reflejen única y exclusivamente la siembra comercial en bloque productivo.</w:t>
      </w:r>
    </w:p>
    <w:p>
      <w:pPr>
        <w:keepNext/>
        <w:spacing w:before="160" w:after="60"/>
      </w:pPr>
      <w:r>
        <w:rPr>
          <w:rFonts w:ascii="Arial" w:hAnsi="Arial"/>
          <w:b/>
          <w:color w:val="558B2F"/>
          <w:sz w:val="22"/>
        </w:rPr>
        <w:t>4.3 ¿Cómo funciona?</w:t>
      </w:r>
    </w:p>
    <w:p>
      <w:pPr>
        <w:spacing w:before="40" w:after="100" w:line="276" w:lineRule="auto"/>
      </w:pPr>
      <w:r>
        <w:rPr>
          <w:rFonts w:ascii="Arial" w:hAnsi="Arial"/>
          <w:color w:val="263238"/>
          <w:sz w:val="19"/>
        </w:rPr>
        <w:t>El motor algorítmico evalúa cada registro Siembra antes de procesar la métrica:</w:t>
        <w:br/>
        <w:t xml:space="preserve">       bool esAreaEspecial = s.operarioId &lt;= 0 ||</w:t>
        <w:br/>
        <w:t xml:space="preserve">           corte.contains('MADRE') || corte.contains('BANCO') || corte.contains('NÚCLEO') ||</w:t>
        <w:br/>
        <w:t xml:space="preserve">           varNombre.contains('MADRE') || varNombre.contains('BANCO') || ...;</w:t>
        <w:br/>
        <w:t xml:space="preserve">       if (esAreaEspecial) continue; // Registro descartado del cómputo de rendimiento</w:t>
        <w:br/>
        <w:t>De este modo, los tallos sembrados en estas camas no suman al acumulado de ningún sembrador ni distorsionan el tiempo promedio por cama.</w:t>
      </w:r>
    </w:p>
    <w:p>
      <w:pPr>
        <w:keepNext/>
        <w:spacing w:before="160" w:after="60"/>
      </w:pPr>
      <w:r>
        <w:rPr>
          <w:rFonts w:ascii="Arial" w:hAnsi="Arial"/>
          <w:b/>
          <w:color w:val="558B2F"/>
          <w:sz w:val="22"/>
        </w:rPr>
        <w:t>4.4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Críticas si se Elimina la Exclusión de Rendimiento</w:t>
              <w:br/>
            </w:r>
          </w:p>
          <w:p>
            <w:pPr>
              <w:spacing w:before="0" w:after="40" w:line="276" w:lineRule="auto"/>
            </w:pPr>
            <w:r>
              <w:rPr>
                <w:rFonts w:ascii="Arial" w:hAnsi="Arial"/>
                <w:color w:val="333333"/>
                <w:sz w:val="19"/>
              </w:rPr>
              <w:t>• Rankings Laborales Falsos y Sesgados: Un operario que hizo una labor técnica impecable en bancos aparecería de último en el ranking con una supuesta baja productividad, perdiendo bonificaciones salariales injustamente.</w:t>
              <w:br/>
              <w:t>• Reportes PDF Inválidos para Gerencia: Los informes ejecutivos de rendimiento entregarían promedios de tallos/hora irreales que inducirían a error a los directores de producción al planear cuadrillas comerciales.</w:t>
            </w:r>
          </w:p>
        </w:tc>
      </w:tr>
    </w:tbl>
    <w:p>
      <w:pPr>
        <w:spacing w:before="0" w:after="80"/>
      </w:pPr>
    </w:p>
    <w:p>
      <w:pPr>
        <w:keepNext/>
        <w:spacing w:before="280" w:after="120"/>
      </w:pPr>
      <w:r>
        <w:rPr>
          <w:rFonts w:ascii="Arial" w:hAnsi="Arial"/>
          <w:b/>
          <w:color w:val="1B5E20"/>
          <w:sz w:val="28"/>
        </w:rPr>
        <w:t>5. Módulo de Política de Inmutabilidad Temporal y Bloqueo Transaccional a 2 Días</w:t>
      </w:r>
    </w:p>
    <w:p>
      <w:pPr>
        <w:keepNext/>
        <w:spacing w:before="160" w:after="60"/>
      </w:pPr>
      <w:r>
        <w:rPr>
          <w:rFonts w:ascii="Arial" w:hAnsi="Arial"/>
          <w:b/>
          <w:color w:val="558B2F"/>
          <w:sz w:val="22"/>
        </w:rPr>
        <w:t>5.1 ¿Qué se desarrolló?</w:t>
      </w:r>
    </w:p>
    <w:p>
      <w:pPr>
        <w:spacing w:before="40" w:after="100" w:line="276" w:lineRule="auto"/>
      </w:pPr>
      <w:r>
        <w:rPr>
          <w:rFonts w:ascii="Arial" w:hAnsi="Arial"/>
          <w:color w:val="263238"/>
          <w:sz w:val="19"/>
        </w:rPr>
        <w:t>Se desarrolló un protocolo de seguridad y congelamiento temporal de datos agronómicos distribuido:</w:t>
        <w:br/>
        <w:t>• En lib/utils/calendario_util.dart: Método puedeModificarSiembraPorFecha(fecha) que calcula la diferencia en días calendario entre la fecha de siembra y la fecha actual del sistema.</w:t>
        <w:br/>
        <w:t>• En lib/repositories/db_repository.dart: Métodos actualizarSiembraOffline y eliminarSiembraOffline que rechazan cualquier operación de mutación local si el registro supera los 2 días de antigüedad.</w:t>
        <w:br/>
        <w:t>• En lib/screens/dashboard_screen.dart: La interfaz evalúa el estado del registro; si supera 2 días, oculta los botones de acción y despliega un icono de candado de seguridad con diálogo explicativo de bloqueo institucional.</w:t>
      </w:r>
    </w:p>
    <w:p>
      <w:pPr>
        <w:keepNext/>
        <w:spacing w:before="160" w:after="60"/>
      </w:pPr>
      <w:r>
        <w:rPr>
          <w:rFonts w:ascii="Arial" w:hAnsi="Arial"/>
          <w:b/>
          <w:color w:val="558B2F"/>
          <w:sz w:val="22"/>
        </w:rPr>
        <w:t>5.2 ¿Para qué sirve?</w:t>
      </w:r>
    </w:p>
    <w:p>
      <w:pPr>
        <w:spacing w:before="40" w:after="100" w:line="276" w:lineRule="auto"/>
      </w:pPr>
      <w:r>
        <w:rPr>
          <w:rFonts w:ascii="Arial" w:hAnsi="Arial"/>
          <w:color w:val="263238"/>
          <w:sz w:val="19"/>
        </w:rPr>
        <w:t>Sirve para blindar la gobernanza de datos y la seguridad contable y de auditoría de Buenavista Flowers:</w:t>
        <w:br/>
        <w:t>• Previene la adulteración retrospectiva o el borrado accidental de siembras de semanas anteriores en los dispositivos móviles de campo.</w:t>
        <w:br/>
        <w:t>• Otorga a los operarios una ventana de tolerancia razonable (48 horas) para corregir errores tipográficos inmediatos.</w:t>
        <w:br/>
        <w:t>• Centraliza la autoridad de enmienda: Una vez transcurridos los 2 días, cualquier modificación solo puede ser ejecutada por el administrador del sistema directamente en la Base de Datos Empresarial Central (Microsoft Access).</w:t>
      </w:r>
    </w:p>
    <w:p>
      <w:pPr>
        <w:keepNext/>
        <w:spacing w:before="160" w:after="60"/>
      </w:pPr>
      <w:r>
        <w:rPr>
          <w:rFonts w:ascii="Arial" w:hAnsi="Arial"/>
          <w:b/>
          <w:color w:val="558B2F"/>
          <w:sz w:val="22"/>
        </w:rPr>
        <w:t>5.3 ¿Cómo funciona?</w:t>
      </w:r>
    </w:p>
    <w:p>
      <w:pPr>
        <w:spacing w:before="40" w:after="100" w:line="276" w:lineRule="auto"/>
      </w:pPr>
      <w:r>
        <w:rPr>
          <w:rFonts w:ascii="Arial" w:hAnsi="Arial"/>
          <w:color w:val="263238"/>
          <w:sz w:val="19"/>
        </w:rPr>
        <w:t>1. Cálculo Temporal: CalendarioUtil.parsearFecha extrae día, mes y año puros sin desfases de huso horario UTC. Se calcula: Delta_días = DateTime.now().difference(fechaSiembra).inDays.</w:t>
        <w:br/>
        <w:t>2. Evaluación Lógica: Si Delta_días &gt; 2, la función retorna false.</w:t>
        <w:br/>
        <w:t>3. Intercepción en UI: Al renderizar la tarjeta o la fila de tabla:</w:t>
        <w:br/>
        <w:t xml:space="preserve">   - Si puedeModificar == true: Muestra botón verde de editar y botón rojo de eliminar.</w:t>
        <w:br/>
        <w:t xml:space="preserve">   - Si puedeModificar == false: Muestra icono de candado naranja. Si el usuario lo toca, un AlertDialog interactivo le notifica: 'Registro Bloqueado (&gt; 2 días). Modificación exclusiva desde la BD Empresarial'.</w:t>
        <w:br/>
        <w:t>4. Protección a Nivel de Repositorio: Aunque alguien intentara saltarse la UI, el método en db_repository.dart lanza una excepción impidiendo la ejecución del UPDATE o DELETE en SQLite.</w:t>
      </w:r>
    </w:p>
    <w:p>
      <w:pPr>
        <w:keepNext/>
        <w:spacing w:before="160" w:after="60"/>
      </w:pPr>
      <w:r>
        <w:rPr>
          <w:rFonts w:ascii="Arial" w:hAnsi="Arial"/>
          <w:b/>
          <w:color w:val="558B2F"/>
          <w:sz w:val="22"/>
        </w:rPr>
        <w:t>5.4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Críticas si se Elimina el Bloqueo a 2 Días</w:t>
              <w:br/>
            </w:r>
          </w:p>
          <w:p>
            <w:pPr>
              <w:spacing w:before="0" w:after="40" w:line="276" w:lineRule="auto"/>
            </w:pPr>
            <w:r>
              <w:rPr>
                <w:rFonts w:ascii="Arial" w:hAnsi="Arial"/>
                <w:color w:val="333333"/>
                <w:sz w:val="19"/>
              </w:rPr>
              <w:t>• Vulnerabilidad de Fraude y Borrado Accidental: Un operario en campo podría borrar por error o manipular una siembra de hace dos semanas, destruyendo el historial de costos ya cerrado y facturado.</w:t>
              <w:br/>
              <w:t>• Desincronización Caótica con el ERP: Si en el móvil se modifica una siembra que ya fue exportada a la nómina de Access, se generaría una discrepancia insalvable entre el inventario del invernadero y la contabilidad empresarial.</w:t>
              <w:br/>
              <w:t>• Pérdida de Auditoría Fitosanitaria: Ante una inspección del ICA o de aduanas, no se podría certificar la inmutabilidad de los registros históricos.</w:t>
            </w:r>
          </w:p>
        </w:tc>
      </w:tr>
    </w:tbl>
    <w:p>
      <w:pPr>
        <w:spacing w:before="0" w:after="80"/>
      </w:pPr>
    </w:p>
    <w:p>
      <w:pPr>
        <w:keepNext/>
        <w:spacing w:before="280" w:after="120"/>
      </w:pPr>
      <w:r>
        <w:rPr>
          <w:rFonts w:ascii="Arial" w:hAnsi="Arial"/>
          <w:b/>
          <w:color w:val="1B5E20"/>
          <w:sz w:val="28"/>
        </w:rPr>
        <w:t>6. Módulo de Gamificación, Podio de Medallas y Reportes Ejecutivos en PDF</w:t>
      </w:r>
    </w:p>
    <w:p>
      <w:pPr>
        <w:keepNext/>
        <w:spacing w:before="160" w:after="60"/>
      </w:pPr>
      <w:r>
        <w:rPr>
          <w:rFonts w:ascii="Arial" w:hAnsi="Arial"/>
          <w:b/>
          <w:color w:val="558B2F"/>
          <w:sz w:val="22"/>
        </w:rPr>
        <w:t>6.1 ¿Qué se desarrolló?</w:t>
      </w:r>
    </w:p>
    <w:p>
      <w:pPr>
        <w:spacing w:before="40" w:after="100" w:line="276" w:lineRule="auto"/>
      </w:pPr>
      <w:r>
        <w:rPr>
          <w:rFonts w:ascii="Arial" w:hAnsi="Arial"/>
          <w:color w:val="263238"/>
          <w:sz w:val="19"/>
        </w:rPr>
        <w:t>Se desarrolló un panel avanzado de supervisión laboral (lib/screens/rendimiento_dialog.dart y lib/services/reporte_service.dart):</w:t>
        <w:br/>
        <w:t>• Motor de Gamificación Laboral: Asigna medallas de honor en tiempo real: Oro para el Top 1, Plata para el Top 2 y Bronce para el Top 3, con tarjetas destacadas en tonalidades doradas, bordes resaltados y desglose de camas cubiertas y tallos totales.</w:t>
        <w:br/>
        <w:t>• Métricas de Velocidad y Eficiencia: Cálculo automático de promedio de tallos por cama y ritmo de avance.</w:t>
        <w:br/>
        <w:t>• Generador de Reportes PDF Vectoriales: Compila en tiempo real documentos A4 de alta definición sin requerir internet, con formatos oficiales: General Consolidado, Detalle por Variedad, Detalle por Operario y Detalle por Bloque.</w:t>
      </w:r>
    </w:p>
    <w:p>
      <w:pPr>
        <w:keepNext/>
        <w:spacing w:before="160" w:after="60"/>
      </w:pPr>
      <w:r>
        <w:rPr>
          <w:rFonts w:ascii="Arial" w:hAnsi="Arial"/>
          <w:b/>
          <w:color w:val="558B2F"/>
          <w:sz w:val="22"/>
        </w:rPr>
        <w:t>6.2 ¿Para qué sirve?</w:t>
      </w:r>
    </w:p>
    <w:p>
      <w:pPr>
        <w:spacing w:before="40" w:after="100" w:line="276" w:lineRule="auto"/>
      </w:pPr>
      <w:r>
        <w:rPr>
          <w:rFonts w:ascii="Arial" w:hAnsi="Arial"/>
          <w:color w:val="263238"/>
          <w:sz w:val="19"/>
        </w:rPr>
        <w:t>• Motivación del Personal: La gamificación genera un clima de competencia positiva y reconocimiento tangible entre las cuadrillas.</w:t>
        <w:br/>
        <w:t>• Agilidad Administrativa: El supervisor puede generar el reporte en PDF al terminar la jornada, previsualizarlo e imprimirlo por Wi-Fi o Bluetooth o enviarlo inmediatamente por WhatsApp a la gerencia técnica sin pasar por digitadores de oficina.</w:t>
      </w:r>
    </w:p>
    <w:p>
      <w:pPr>
        <w:keepNext/>
        <w:spacing w:before="160" w:after="60"/>
      </w:pPr>
      <w:r>
        <w:rPr>
          <w:rFonts w:ascii="Arial" w:hAnsi="Arial"/>
          <w:b/>
          <w:color w:val="558B2F"/>
          <w:sz w:val="22"/>
        </w:rPr>
        <w:t>6.3 ¿Cómo funciona?</w:t>
      </w:r>
    </w:p>
    <w:p>
      <w:pPr>
        <w:spacing w:before="40" w:after="100" w:line="276" w:lineRule="auto"/>
      </w:pPr>
      <w:r>
        <w:rPr>
          <w:rFonts w:ascii="Arial" w:hAnsi="Arial"/>
          <w:color w:val="263238"/>
          <w:sz w:val="19"/>
        </w:rPr>
        <w:t>1. Agrupación y Ordenamiento: El motor agrupa las siembras comerciales por operarioId y ordena descendentemente por total de tallos.</w:t>
        <w:br/>
        <w:t>2. Asignación de Podio: El índice 0 recibe medalla de oro, el índice 1 plata y el índice 2 bronce.</w:t>
        <w:br/>
        <w:t>3. Compilación PDF: ReporteService utiliza la biblioteca pdf de Flutter para dibujar tablas tabulares vectoriales con colores corporativos, encabezados institucionales de Buenavista Flowers, paginación automática y resumen de totales.</w:t>
      </w:r>
    </w:p>
    <w:p>
      <w:pPr>
        <w:keepNext/>
        <w:spacing w:before="160" w:after="60"/>
      </w:pPr>
      <w:r>
        <w:rPr>
          <w:rFonts w:ascii="Arial" w:hAnsi="Arial"/>
          <w:b/>
          <w:color w:val="558B2F"/>
          <w:sz w:val="22"/>
        </w:rPr>
        <w:t>6.4 ¿Qué pasa si se quita?</w:t>
      </w:r>
    </w:p>
    <w:tbl>
      <w:tblPr>
        <w:tblW w:type="auto" w:w="0"/>
        <w:jc w:val="center"/>
        <w:tblLayout w:type="fixed"/>
        <w:tblLook w:firstColumn="1" w:firstRow="1" w:lastColumn="0" w:lastRow="0" w:noHBand="0" w:noVBand="1" w:val="04A0"/>
      </w:tblPr>
      <w:tblGrid>
        <w:gridCol w:w="9792"/>
      </w:tblGrid>
      <w:tr>
        <w:tc>
          <w:tcPr>
            <w:tcW w:type="dxa" w:w="9360"/>
            <w:shd w:fill="FFF3E0"/>
            <w:tcMar>
              <w:top w:w="140" w:type="dxa"/>
              <w:bottom w:w="140" w:type="dxa"/>
              <w:left w:w="200" w:type="dxa"/>
              <w:right w:w="200" w:type="dxa"/>
            </w:tcMar>
            <w:tcBorders>
              <w:left w:val="single" w:sz="36" w:space="0" w:color="F57C00"/>
              <w:top w:val="none"/>
              <w:right w:val="none"/>
              <w:bottom w:val="none"/>
            </w:tcBorders>
          </w:tcPr>
          <w:p>
            <w:pPr>
              <w:spacing w:before="40" w:after="80"/>
            </w:pPr>
            <w:r>
              <w:rPr>
                <w:rFonts w:ascii="Arial" w:hAnsi="Arial"/>
                <w:b/>
                <w:color w:val="F57C00"/>
                <w:sz w:val="21"/>
              </w:rPr>
              <w:t>⚠️ Consecuencias si se Elimina el Módulo de Rendimiento y Reportes PDF</w:t>
              <w:br/>
            </w:r>
          </w:p>
          <w:p>
            <w:pPr>
              <w:spacing w:before="0" w:after="40" w:line="276" w:lineRule="auto"/>
            </w:pPr>
            <w:r>
              <w:rPr>
                <w:rFonts w:ascii="Arial" w:hAnsi="Arial"/>
                <w:color w:val="333333"/>
                <w:sz w:val="19"/>
              </w:rPr>
              <w:t>• Pérdida de Visibilidad Operativa: Los supervisores no tendrían cómo saber qué cuadrilla o trabajador avanzó más rápido durante la jornada.</w:t>
              <w:br/>
              <w:t>• Retorno a la Dependencia de Papel: Para entregar informes a gerencia se tendría que volver a transcribir los datos a mano o a Excel, anulando la ventaja de contar con una aplicación móvil en campo.</w:t>
            </w:r>
          </w:p>
        </w:tc>
      </w:tr>
    </w:tbl>
    <w:p>
      <w:pPr>
        <w:spacing w:before="0" w:after="80"/>
      </w:pPr>
    </w:p>
    <w:p>
      <w:pPr>
        <w:keepNext/>
        <w:spacing w:before="280" w:after="120"/>
      </w:pPr>
      <w:r>
        <w:rPr>
          <w:rFonts w:ascii="Arial" w:hAnsi="Arial"/>
          <w:b/>
          <w:color w:val="1B5E20"/>
          <w:sz w:val="28"/>
        </w:rPr>
        <w:t>7. Módulo del Servidor Backend e Iniciar Backend (iniciar_backend.bat, FastAPI, Uvicorn y Sincronización Segura)</w:t>
      </w:r>
    </w:p>
    <w:tbl>
      <w:tblPr>
        <w:tblW w:type="auto" w:w="0"/>
        <w:jc w:val="center"/>
        <w:tblLayout w:type="fixed"/>
        <w:tblLook w:firstColumn="1" w:firstRow="1" w:lastColumn="0" w:lastRow="0" w:noHBand="0" w:noVBand="1" w:val="04A0"/>
      </w:tblPr>
      <w:tblGrid>
        <w:gridCol w:w="9792"/>
      </w:tblGrid>
      <w:tr>
        <w:tc>
          <w:tcPr>
            <w:tcW w:type="dxa" w:w="9360"/>
            <w:shd w:fill="E8EAF6"/>
            <w:tcMar>
              <w:top w:w="140" w:type="dxa"/>
              <w:bottom w:w="140" w:type="dxa"/>
              <w:left w:w="200" w:type="dxa"/>
              <w:right w:w="200" w:type="dxa"/>
            </w:tcMar>
            <w:tcBorders>
              <w:left w:val="single" w:sz="36" w:space="0" w:color="303F9F"/>
              <w:top w:val="none"/>
              <w:right w:val="none"/>
              <w:bottom w:val="none"/>
            </w:tcBorders>
          </w:tcPr>
          <w:p>
            <w:pPr>
              <w:spacing w:before="40" w:after="80"/>
            </w:pPr>
            <w:r>
              <w:rPr>
                <w:rFonts w:ascii="Arial" w:hAnsi="Arial"/>
                <w:b/>
                <w:color w:val="303F9F"/>
                <w:sz w:val="21"/>
              </w:rPr>
              <w:t>🖥️ El Puente Neuronal del Ecosistema: Offline-First a Base de Datos Central</w:t>
              <w:br/>
            </w:r>
          </w:p>
          <w:p>
            <w:pPr>
              <w:spacing w:before="0" w:after="40" w:line="276" w:lineRule="auto"/>
            </w:pPr>
            <w:r>
              <w:rPr>
                <w:rFonts w:ascii="Arial" w:hAnsi="Arial"/>
                <w:color w:val="333333"/>
                <w:sz w:val="19"/>
              </w:rPr>
              <w:t>El backend y su script lanzador 'iniciar_backend.bat' constituyen la infraestructura medular que conecta los dispositivos Android de campo con la base de datos empresarial histórica 'bmempresarial2021.accdb' (Microsoft Access de más de 865 MB). Sin este puente, las aplicaciones móviles operarían en una isla sin capacidad de sincronizar inventarios, nóminas ni catálogos oficiales.</w:t>
            </w:r>
          </w:p>
        </w:tc>
      </w:tr>
    </w:tbl>
    <w:p>
      <w:pPr>
        <w:spacing w:before="0" w:after="80"/>
      </w:pPr>
    </w:p>
    <w:p>
      <w:pPr>
        <w:keepNext/>
        <w:spacing w:before="160" w:after="60"/>
      </w:pPr>
      <w:r>
        <w:rPr>
          <w:rFonts w:ascii="Arial" w:hAnsi="Arial"/>
          <w:b/>
          <w:color w:val="558B2F"/>
          <w:sz w:val="22"/>
        </w:rPr>
        <w:t>7.1 ¿Qué se desarrolló?</w:t>
      </w:r>
    </w:p>
    <w:p>
      <w:pPr>
        <w:spacing w:before="40" w:after="100" w:line="276" w:lineRule="auto"/>
      </w:pPr>
      <w:r>
        <w:rPr>
          <w:rFonts w:ascii="Arial" w:hAnsi="Arial"/>
          <w:color w:val="263238"/>
          <w:sz w:val="19"/>
        </w:rPr>
        <w:t>Se desarrolló un ecosistema de servidor completo compuesto por los siguientes componentes de ingeniería:</w:t>
        <w:br/>
        <w:br/>
        <w:t>1. Script Lanzador Automatizado ('iniciar_backend.bat'):</w:t>
        <w:br/>
        <w:t xml:space="preserve">   • Archivo de procesamiento por lotes (.bat) diseñado para ejecución 'un solo clic' en el servidor/PC de la oficina central.</w:t>
        <w:br/>
        <w:t xml:space="preserve">   • Interfaz estilizada de consola Windows con fondo verde esmeralda y texto blanco brillante ('color 2F') y título personalizado ('title Servidor Backend - Siembras Buenavista Flowers').</w:t>
        <w:br/>
        <w:t xml:space="preserve">   • Detección Dinámica de IP Local: Ejecuta la consulta de red 'route print | findstr 0.0.0.0' para extraer la dirección IP real de la máquina anfitriona en la red Wi-Fi (ej. 192.168.1.39) sin requerir que el operador abra la consola o use 'ipconfig'.</w:t>
        <w:br/>
        <w:t xml:space="preserve">   • Publicación de Endpoint: Despliega en pantalla la URL exacta a la que deben apuntar las tablets y teléfonos Android (http://192.168.1.39:8000/api).</w:t>
        <w:br/>
        <w:t xml:space="preserve">   • Cambio de Directorio y Arranque: Navega de forma segura al directorio relativo ('cd /d "%~dp0backend"') y lanza el servicio mediante 'python run.py'.</w:t>
        <w:br/>
        <w:t xml:space="preserve">   • Control de Excepciones ('pause'): Mantiene la consola abierta si ocurre algún error, facilitando el diagnóstico por parte del equipo de soporte.</w:t>
        <w:br/>
        <w:br/>
        <w:t>2. Servidor Web Asíncrono de Alto Desempeño ('backend/run.py' y 'backend/app/main.py'):</w:t>
        <w:br/>
        <w:t xml:space="preserve">   • Arquitectura ASGI basada en FastAPI montada sobre el motor Uvicorn, escuchando en todas las interfaces de red ('0.0.0.0:8000') con recarga en caliente ('reload=True').</w:t>
        <w:br/>
        <w:t xml:space="preserve">   • Middleware de Concurrencia y Serialización ('db_lock' en 'backend/app/db/connection.py'): Implementación de un candado global multi-hilo ('threading.Lock()') que serializa todas las transacciones hacia Microsoft Access, garantizando que el driver ODBC no sufra colisiones ni corrupciones por escrituras simultáneas.</w:t>
        <w:br/>
        <w:t xml:space="preserve">   • Cadena de Conexión en Modo Compartido ('Exclusive=0', 'ExtendedAnsiSQL=1'): Permite que los empleados de oficina mantengan abierta la base de datos 'bmempresarial2021.accdb' en Microsoft Access mientras los teléfonos sincronizan en segundo plano sin bloqueos de archivo.</w:t>
        <w:br/>
        <w:t xml:space="preserve">   • Auto-Reparación y Creación del Esquema ('ensure_database_schema'): En el evento de arranque ('@app.on_event("startup")') y en cada conexión, el backend verifica si la tabla 't_siembras_app' existe. Si se restaura una base de datos limpia que no la tiene, la crea automáticamente con clave primaria UUID sin tocar ninguna tabla nativa.</w:t>
        <w:br/>
        <w:t xml:space="preserve">   • Subsistema de Respaldos Preventivos en Segundo Plano ('safe_backup_database'): Hilo demonio asíncrono ('threading.Thread') que genera respaldos rotativos automáticos por hora en la carpeta 'backups_seguridad/' ('bmempresarial2021_backup_YYYYMMDD_HH.accdb'), reteniendo las últimas 5 copias para proteger el sistema ante apagones o fallas de disco.</w:t>
        <w:br/>
        <w:t xml:space="preserve">   • Motor de Sincronización Masiva en 5 Tablas Empresariales ('/api/sync/siembras'): Recibe lotes de siembras, normaliza fechas estrictas a '00:00:00' (formato DD/MM/YYYY en Access), calcula correlativos en memoria ('MAX(t31)', 'MAX(t51)', 'MAX(t102)', 'MAX(t50)') e impacta de forma atómica: t_siembras_app (auditoría), t31_encnovcampo (encabezado), t51_detnovcampo (detalle agronómico), t102_composcama (histórico), t50_mcomposcama (ocupación activa respetando multivariedad) y t49_mcamas (estado físico de la cama).</w:t>
        <w:br/>
        <w:t xml:space="preserve">   • Distribución de Catálogos Oficiales ('/api/catalogs/'): Expone endpoints para sincronizar bloques (t17), camas (t49), familias (t09), series (t10), colores (t08), variedades (t11), empleados/operarios (t159) y configuraciones agronómicas maestras.</w:t>
      </w:r>
    </w:p>
    <w:p>
      <w:pPr>
        <w:keepNext/>
        <w:spacing w:before="160" w:after="60"/>
      </w:pPr>
      <w:r>
        <w:rPr>
          <w:rFonts w:ascii="Arial" w:hAnsi="Arial"/>
          <w:b/>
          <w:color w:val="558B2F"/>
          <w:sz w:val="22"/>
        </w:rPr>
        <w:t>7.2 ¿Para qué sirve?</w:t>
      </w:r>
    </w:p>
    <w:p>
      <w:pPr>
        <w:spacing w:before="40" w:after="100" w:line="276" w:lineRule="auto"/>
      </w:pPr>
      <w:r>
        <w:rPr>
          <w:rFonts w:ascii="Arial" w:hAnsi="Arial"/>
          <w:color w:val="263238"/>
          <w:sz w:val="19"/>
        </w:rPr>
        <w:t>El módulo del backend cumple cinco funciones vitales en la operación de Buenavista Flowers:</w:t>
        <w:br/>
        <w:br/>
        <w:t>• Conexión Inalámbrica Transparente: Permite que las cuadrillas de campo recolecten información sin cables ni planillas de papel, sincronizando los datos directamente desde el celular a la base central de la empresa.</w:t>
        <w:br/>
        <w:t>• Operación 'Offline-First' Confiable: Otorga total autonomía a los dispositivos móviles para sembrar en zonas profundas de invernadero sin Wi-Fi; al regresar al alcance de la red, una sola pulsación envía todos los registros al servidor.</w:t>
        <w:br/>
        <w:t>• Protección Absoluta del Archivo Access de 865 MB: Microsoft Access no tolera conexiones de red concurrentes directas sin intermediario. El backend actúa como una aduana blindada que previene la corrupción catastrófica de 20 años de historia empresarial.</w:t>
        <w:br/>
        <w:t>• Cero Complicación Técnica para Usuarios ('iniciar_backend.bat'): Cualquier empleado de oficina, supervisor o secretaria puede encender el servidor con solo hacer doble clic en el archivo .bat, sin tener que saber comandos de consola, puertos ni configuraciones de red.</w:t>
        <w:br/>
        <w:t>• Sincronización Bidireccional de Catálogos: Si en la oficina se registra una nueva variedad o se contrata a un nuevo sembrador en Access, los celulares descargan de inmediato estos cambios al sincronizar catálogos.</w:t>
      </w:r>
    </w:p>
    <w:p>
      <w:pPr>
        <w:keepNext/>
        <w:spacing w:before="160" w:after="60"/>
      </w:pPr>
      <w:r>
        <w:rPr>
          <w:rFonts w:ascii="Arial" w:hAnsi="Arial"/>
          <w:b/>
          <w:color w:val="558B2F"/>
          <w:sz w:val="22"/>
        </w:rPr>
        <w:t>7.3 ¿Cómo funciona?</w:t>
      </w:r>
    </w:p>
    <w:p>
      <w:pPr>
        <w:spacing w:before="40" w:after="100" w:line="276" w:lineRule="auto"/>
      </w:pPr>
      <w:r>
        <w:rPr>
          <w:rFonts w:ascii="Arial" w:hAnsi="Arial"/>
          <w:color w:val="263238"/>
          <w:sz w:val="19"/>
        </w:rPr>
        <w:t>El ciclo operativo del backend sigue una secuencia determinista de 6 pasos:</w:t>
        <w:br/>
        <w:br/>
        <w:t>1. Ejecución del Lanzador: El usuario hace doble clic en 'iniciar_backend.bat'. El script ejecuta 'route print', detecta la tarjeta de red activa, muestra la IP (ej. 192.168.1.39), tiñe la consola de verde corporativo y ejecuta 'python run.py'.</w:t>
        <w:br/>
        <w:t>2. Inicialización del Servidor: Uvicorn monta FastAPI en '0.0.0.0:8000'. En el evento 'startup', abre un canal ODBC hacia 'bmempresarial2021.accdb', verifica que 't_siembras_app' exista, dispara la copia preventiva horaria en segundo plano y confirma disponibilidad.</w:t>
        <w:br/>
        <w:t>3. Captura Offline en Campo: En los invernaderos, los supervisores digitan siembras en la App Móvil (almacenadas localmente en SQLite con el campo 'sincronizado = 0').</w:t>
        <w:br/>
        <w:t>4. Solicitud de Sincronización: Al conectarse a la red Wi-Fi de la empresa, el supervisor pulsa 'Sincronizar' en la app. La app envía un paquete HTTP POST con el listado JSON de siembras a 'http://192.168.1.39:8000/api/sync/siembras' autenticado con la API Key configurada.</w:t>
        <w:br/>
        <w:t>5. Procesamiento Transaccional y Bloqueo 'db_lock':</w:t>
        <w:br/>
        <w:t xml:space="preserve">   - El backend adquiere 'db_lock.acquire()', congelando temporalmente cualquier otra escritura para evitar colisiones en Access.</w:t>
        <w:br/>
        <w:t xml:space="preserve">   - Abre la conexión ODBC con 'Exclusive=0'.</w:t>
        <w:br/>
        <w:t xml:space="preserve">   - Normaliza estrictamente las fechas a las 00:00:00 (evitando discrepancias horarias).</w:t>
        <w:br/>
        <w:t xml:space="preserve">   - Inserta la auditoría móvil en 't_siembras_app' con su UUID.</w:t>
        <w:br/>
        <w:t xml:space="preserve">   - Si la siembra es activa, actualiza atómicamente t31, t51, t102, t50 y t49, preservando otras variedades en camas multivariedad si su ciclo no ha vencido.</w:t>
        <w:br/>
        <w:t xml:space="preserve">   - Ejecuta 'conn.commit()' y libera 'db_lock.release()'.</w:t>
        <w:br/>
        <w:t>6. Confirmación a la App Móvil: El backend responde con HTTP 200 y la lista de UUIDs confirmados ('committed'). La aplicación móvil actualiza SQLite marcando 'sincronizado = 1' y despliega el diálogo de confirmación exitosa al usuario.</w:t>
      </w:r>
    </w:p>
    <w:p>
      <w:pPr>
        <w:keepNext/>
        <w:spacing w:before="160" w:after="60"/>
      </w:pPr>
      <w:r>
        <w:rPr>
          <w:rFonts w:ascii="Arial" w:hAnsi="Arial"/>
          <w:b/>
          <w:color w:val="558B2F"/>
          <w:sz w:val="22"/>
        </w:rPr>
        <w:t>7.4 ¿Qué pasa si se quita?</w:t>
      </w:r>
    </w:p>
    <w:tbl>
      <w:tblPr>
        <w:tblW w:type="auto" w:w="0"/>
        <w:jc w:val="center"/>
        <w:tblLayout w:type="fixed"/>
        <w:tblLook w:firstColumn="1" w:firstRow="1" w:lastColumn="0" w:lastRow="0" w:noHBand="0" w:noVBand="1" w:val="04A0"/>
      </w:tblPr>
      <w:tblGrid>
        <w:gridCol w:w="9792"/>
      </w:tblGrid>
      <w:tr>
        <w:tc>
          <w:tcPr>
            <w:tcW w:type="dxa" w:w="9360"/>
            <w:shd w:fill="FFEBEE"/>
            <w:tcMar>
              <w:top w:w="140" w:type="dxa"/>
              <w:bottom w:w="140" w:type="dxa"/>
              <w:left w:w="200" w:type="dxa"/>
              <w:right w:w="200" w:type="dxa"/>
            </w:tcMar>
            <w:tcBorders>
              <w:left w:val="single" w:sz="36" w:space="0" w:color="C62828"/>
              <w:top w:val="none"/>
              <w:right w:val="none"/>
              <w:bottom w:val="none"/>
            </w:tcBorders>
          </w:tcPr>
          <w:p>
            <w:pPr>
              <w:spacing w:before="40" w:after="80"/>
            </w:pPr>
            <w:r>
              <w:rPr>
                <w:rFonts w:ascii="Arial" w:hAnsi="Arial"/>
                <w:b/>
                <w:color w:val="C62828"/>
                <w:sz w:val="21"/>
              </w:rPr>
              <w:t>🚨 Consecuencias Catastróficas si se Elimina el Backend o 'iniciar_backend.bat'</w:t>
              <w:br/>
            </w:r>
          </w:p>
          <w:p>
            <w:pPr>
              <w:spacing w:before="0" w:after="40" w:line="276" w:lineRule="auto"/>
            </w:pPr>
            <w:r>
              <w:rPr>
                <w:rFonts w:ascii="Arial" w:hAnsi="Arial"/>
                <w:color w:val="333333"/>
                <w:sz w:val="19"/>
              </w:rPr>
              <w:t>1. Incomunicación Total de los Dispositivos Móviles: Los teléfonos y tablets Android quedarían aislados en una isla offline perpetua. Ningún dato de siembra de campo podría ingresar jamás a la base de datos empresarial.</w:t>
              <w:br/>
              <w:t>2. Imposibilidad Técnica de Conexión: El sistema operativo Android no posee soporte para drivers ODBC de Microsoft Jet/ACE ni protocolo de red SMB compartido de Access. Sin este backend en FastAPI, es técnicamente imposible que un celular hable con un archivo .accdb.</w:t>
              <w:br/>
              <w:t>3. Riesgo Crítico de Corrupción de la Base de Datos: Si se intentara conectar clientes móviles de forma directa o concurrente sin el control 'db_lock' y 'Exclusive=0', la base de datos empresarial de 865 MB se corrompería irreparablemente en minutos.</w:t>
              <w:br/>
              <w:t>4. Parálisis de Catálogos: Si se crean nuevas camas o variedades en Access, los celulares nunca se enterarían, obligando a ingresar datos a ciegas o recompilar la aplicación móvil.</w:t>
              <w:br/>
              <w:t>5. Pérdida del Sistema de Respaldos Automáticos: Quedaría desmantelado el subsistema horario de copias de seguridad en 'backups_seguridad/', dejando desprotegida la base de datos ante caídas de tensión o fallos del disco duro.</w:t>
            </w:r>
          </w:p>
        </w:tc>
      </w:tr>
    </w:tbl>
    <w:p>
      <w:pPr>
        <w:spacing w:before="0" w:after="80"/>
      </w:pPr>
    </w:p>
    <w:p>
      <w:pPr>
        <w:keepNext/>
        <w:spacing w:before="280" w:after="120"/>
      </w:pPr>
      <w:r>
        <w:rPr>
          <w:rFonts w:ascii="Arial" w:hAnsi="Arial"/>
          <w:b/>
          <w:color w:val="1B5E20"/>
          <w:sz w:val="28"/>
        </w:rPr>
        <w:t>8. Matriz Comparativa de Riesgo e Impacto Cruzado: ¿Qué Pasa si se Quita Cada Módulo?</w:t>
      </w:r>
    </w:p>
    <w:p>
      <w:pPr>
        <w:spacing w:before="40" w:after="100" w:line="276" w:lineRule="auto"/>
      </w:pPr>
      <w:r>
        <w:rPr>
          <w:rFonts w:ascii="Arial" w:hAnsi="Arial"/>
          <w:color w:val="263238"/>
          <w:sz w:val="19"/>
        </w:rPr>
        <w:t>A continuación se presenta la matriz consolidada de riesgo operativo y arquitectural del sistema. Esta tabla sintetiza la criticidad de cada uno de los 7 módulos desarrollados, las áreas de la compañía directamente afectadas y el impacto operativo inmediato que sufriría Buenavista Flowers si alguno de estos componentes fuese removido:</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B5E20"/>
            <w:tcMar>
              <w:top w:w="120" w:type="dxa"/>
              <w:bottom w:w="120" w:type="dxa"/>
              <w:left w:w="140" w:type="dxa"/>
              <w:right w:w="140" w:type="dxa"/>
            </w:tcMar>
          </w:tcPr>
          <w:p>
            <w:pPr>
              <w:jc w:val="center"/>
            </w:pPr>
            <w:r>
              <w:rPr>
                <w:rFonts w:ascii="Arial" w:hAnsi="Arial"/>
                <w:b/>
                <w:color w:val="FFFFFF"/>
                <w:sz w:val="18"/>
              </w:rPr>
              <w:t>Componente Desarrollado</w:t>
            </w:r>
          </w:p>
        </w:tc>
        <w:tc>
          <w:tcPr>
            <w:tcW w:type="dxa" w:w="1872"/>
            <w:shd w:fill="1B5E20"/>
            <w:tcMar>
              <w:top w:w="120" w:type="dxa"/>
              <w:bottom w:w="120" w:type="dxa"/>
              <w:left w:w="140" w:type="dxa"/>
              <w:right w:w="140" w:type="dxa"/>
            </w:tcMar>
          </w:tcPr>
          <w:p>
            <w:pPr>
              <w:jc w:val="center"/>
            </w:pPr>
            <w:r>
              <w:rPr>
                <w:rFonts w:ascii="Arial" w:hAnsi="Arial"/>
                <w:b/>
                <w:color w:val="FFFFFF"/>
                <w:sz w:val="18"/>
              </w:rPr>
              <w:t>Nivel de Criticidad</w:t>
            </w:r>
          </w:p>
        </w:tc>
        <w:tc>
          <w:tcPr>
            <w:tcW w:type="dxa" w:w="2304"/>
            <w:shd w:fill="1B5E20"/>
            <w:tcMar>
              <w:top w:w="120" w:type="dxa"/>
              <w:bottom w:w="120" w:type="dxa"/>
              <w:left w:w="140" w:type="dxa"/>
              <w:right w:w="140" w:type="dxa"/>
            </w:tcMar>
          </w:tcPr>
          <w:p>
            <w:pPr>
              <w:jc w:val="center"/>
            </w:pPr>
            <w:r>
              <w:rPr>
                <w:rFonts w:ascii="Arial" w:hAnsi="Arial"/>
                <w:b/>
                <w:color w:val="FFFFFF"/>
                <w:sz w:val="18"/>
              </w:rPr>
              <w:t>Área Directamente Afectada</w:t>
            </w:r>
          </w:p>
        </w:tc>
        <w:tc>
          <w:tcPr>
            <w:tcW w:type="dxa" w:w="2592"/>
            <w:shd w:fill="1B5E20"/>
            <w:tcMar>
              <w:top w:w="120" w:type="dxa"/>
              <w:bottom w:w="120" w:type="dxa"/>
              <w:left w:w="140" w:type="dxa"/>
              <w:right w:w="140" w:type="dxa"/>
            </w:tcMar>
          </w:tcPr>
          <w:p>
            <w:pPr>
              <w:jc w:val="center"/>
            </w:pPr>
            <w:r>
              <w:rPr>
                <w:rFonts w:ascii="Arial" w:hAnsi="Arial"/>
                <w:b/>
                <w:color w:val="FFFFFF"/>
                <w:sz w:val="18"/>
              </w:rPr>
              <w:t>Impacto Operativo si se Elimina</w:t>
            </w:r>
          </w:p>
        </w:tc>
      </w:tr>
      <w:tr>
        <w:tc>
          <w:tcPr>
            <w:tcW w:type="dxa" w:w="2592"/>
            <w:shd w:fill="E8F5E9"/>
            <w:tcMar>
              <w:top w:w="90" w:type="dxa"/>
              <w:bottom w:w="90" w:type="dxa"/>
              <w:left w:w="120" w:type="dxa"/>
              <w:right w:w="120" w:type="dxa"/>
            </w:tcMar>
          </w:tcPr>
          <w:p>
            <w:r>
              <w:rPr>
                <w:rFonts w:ascii="Arial" w:hAnsi="Arial"/>
                <w:b/>
                <w:color w:val="1B5E20"/>
                <w:sz w:val="17"/>
              </w:rPr>
              <w:t>1. División Bilateral de Camas (Pompón 13/12, Cremón 11/11)</w:t>
            </w:r>
          </w:p>
        </w:tc>
        <w:tc>
          <w:tcPr>
            <w:tcW w:type="dxa" w:w="1872"/>
            <w:shd w:fill="E8F5E9"/>
            <w:tcMar>
              <w:top w:w="90" w:type="dxa"/>
              <w:bottom w:w="90" w:type="dxa"/>
              <w:left w:w="120" w:type="dxa"/>
              <w:right w:w="120" w:type="dxa"/>
            </w:tcMar>
          </w:tcPr>
          <w:p>
            <w:pPr>
              <w:jc w:val="center"/>
            </w:pPr>
            <w:r>
              <w:rPr>
                <w:rFonts w:ascii="Arial" w:hAnsi="Arial"/>
                <w:b/>
                <w:color w:val="C62828"/>
                <w:sz w:val="17"/>
              </w:rPr>
              <w:t>CRÍTICA</w:t>
              <w:br/>
              <w:t>(9.5 / 10)</w:t>
            </w:r>
          </w:p>
        </w:tc>
        <w:tc>
          <w:tcPr>
            <w:tcW w:type="dxa" w:w="2304"/>
            <w:shd w:fill="E8F5E9"/>
            <w:tcMar>
              <w:top w:w="90" w:type="dxa"/>
              <w:bottom w:w="90" w:type="dxa"/>
              <w:left w:w="120" w:type="dxa"/>
              <w:right w:w="120" w:type="dxa"/>
            </w:tcMar>
          </w:tcPr>
          <w:p>
            <w:r>
              <w:rPr>
                <w:rFonts w:ascii="Arial" w:hAnsi="Arial"/>
                <w:color w:val="263238"/>
                <w:sz w:val="17"/>
              </w:rPr>
              <w:t>Inventario Agronómico y Nómina por Esqueje</w:t>
            </w:r>
          </w:p>
        </w:tc>
        <w:tc>
          <w:tcPr>
            <w:tcW w:type="dxa" w:w="2592"/>
            <w:shd w:fill="E8F5E9"/>
            <w:tcMar>
              <w:top w:w="90" w:type="dxa"/>
              <w:bottom w:w="90" w:type="dxa"/>
              <w:left w:w="120" w:type="dxa"/>
              <w:right w:w="120" w:type="dxa"/>
            </w:tcMar>
          </w:tcPr>
          <w:p>
            <w:r>
              <w:rPr>
                <w:rFonts w:ascii="Arial" w:hAnsi="Arial"/>
                <w:color w:val="263238"/>
                <w:sz w:val="17"/>
              </w:rPr>
              <w:t>Descuadre continuo de inventario vegetal (~130 plantas por cama). Liquidación errónea e injusta de pagos a sembradores.</w:t>
            </w:r>
          </w:p>
        </w:tc>
      </w:tr>
      <w:tr>
        <w:tc>
          <w:tcPr>
            <w:tcW w:type="dxa" w:w="2592"/>
            <w:shd w:fill="FFFFFF"/>
            <w:tcMar>
              <w:top w:w="90" w:type="dxa"/>
              <w:bottom w:w="90" w:type="dxa"/>
              <w:left w:w="120" w:type="dxa"/>
              <w:right w:w="120" w:type="dxa"/>
            </w:tcMar>
          </w:tcPr>
          <w:p>
            <w:r>
              <w:rPr>
                <w:rFonts w:ascii="Arial" w:hAnsi="Arial"/>
                <w:b/>
                <w:color w:val="1B5E20"/>
                <w:sz w:val="17"/>
              </w:rPr>
              <w:t>2. Modo Mixto ('Pasó al otro lado')</w:t>
            </w:r>
          </w:p>
        </w:tc>
        <w:tc>
          <w:tcPr>
            <w:tcW w:type="dxa" w:w="1872"/>
            <w:shd w:fill="FFFFFF"/>
            <w:tcMar>
              <w:top w:w="90" w:type="dxa"/>
              <w:bottom w:w="90" w:type="dxa"/>
              <w:left w:w="120" w:type="dxa"/>
              <w:right w:w="120" w:type="dxa"/>
            </w:tcMar>
          </w:tcPr>
          <w:p>
            <w:pPr>
              <w:jc w:val="center"/>
            </w:pPr>
            <w:r>
              <w:rPr>
                <w:rFonts w:ascii="Arial" w:hAnsi="Arial"/>
                <w:b/>
                <w:color w:val="EF6C00"/>
                <w:sz w:val="17"/>
              </w:rPr>
              <w:t>ALTA</w:t>
              <w:br/>
              <w:t>(8.5 / 10)</w:t>
            </w:r>
          </w:p>
        </w:tc>
        <w:tc>
          <w:tcPr>
            <w:tcW w:type="dxa" w:w="2304"/>
            <w:shd w:fill="FFFFFF"/>
            <w:tcMar>
              <w:top w:w="90" w:type="dxa"/>
              <w:bottom w:w="90" w:type="dxa"/>
              <w:left w:w="120" w:type="dxa"/>
              <w:right w:w="120" w:type="dxa"/>
            </w:tcMar>
          </w:tcPr>
          <w:p>
            <w:r>
              <w:rPr>
                <w:rFonts w:ascii="Arial" w:hAnsi="Arial"/>
                <w:color w:val="263238"/>
                <w:sz w:val="17"/>
              </w:rPr>
              <w:t>Operaciones de Cuadrilla y Trazabilidad</w:t>
            </w:r>
          </w:p>
        </w:tc>
        <w:tc>
          <w:tcPr>
            <w:tcW w:type="dxa" w:w="2592"/>
            <w:shd w:fill="FFFFFF"/>
            <w:tcMar>
              <w:top w:w="90" w:type="dxa"/>
              <w:bottom w:w="90" w:type="dxa"/>
              <w:left w:w="120" w:type="dxa"/>
              <w:right w:w="120" w:type="dxa"/>
            </w:tcMar>
          </w:tcPr>
          <w:p>
            <w:r>
              <w:rPr>
                <w:rFonts w:ascii="Arial" w:hAnsi="Arial"/>
                <w:color w:val="263238"/>
                <w:sz w:val="17"/>
              </w:rPr>
              <w:t>Obligación de falsear datos o promediar líneas cuando un sembrador ayuda a otro. Pérdida de auditoría de calidad en campo.</w:t>
            </w:r>
          </w:p>
        </w:tc>
      </w:tr>
      <w:tr>
        <w:tc>
          <w:tcPr>
            <w:tcW w:type="dxa" w:w="2592"/>
            <w:shd w:fill="E8F5E9"/>
            <w:tcMar>
              <w:top w:w="90" w:type="dxa"/>
              <w:bottom w:w="90" w:type="dxa"/>
              <w:left w:w="120" w:type="dxa"/>
              <w:right w:w="120" w:type="dxa"/>
            </w:tcMar>
          </w:tcPr>
          <w:p>
            <w:r>
              <w:rPr>
                <w:rFonts w:ascii="Arial" w:hAnsi="Arial"/>
                <w:b/>
                <w:color w:val="1B5E20"/>
                <w:sz w:val="17"/>
              </w:rPr>
              <w:t>3. Supresión de Sembrador en Propagación (Madres/Bancos)</w:t>
            </w:r>
          </w:p>
        </w:tc>
        <w:tc>
          <w:tcPr>
            <w:tcW w:type="dxa" w:w="1872"/>
            <w:shd w:fill="E8F5E9"/>
            <w:tcMar>
              <w:top w:w="90" w:type="dxa"/>
              <w:bottom w:w="90" w:type="dxa"/>
              <w:left w:w="120" w:type="dxa"/>
              <w:right w:w="120" w:type="dxa"/>
            </w:tcMar>
          </w:tcPr>
          <w:p>
            <w:pPr>
              <w:jc w:val="center"/>
            </w:pPr>
            <w:r>
              <w:rPr>
                <w:rFonts w:ascii="Arial" w:hAnsi="Arial"/>
                <w:b/>
                <w:color w:val="EF6C00"/>
                <w:sz w:val="17"/>
              </w:rPr>
              <w:t>ALTA</w:t>
              <w:br/>
              <w:t>(8.0 / 10)</w:t>
            </w:r>
          </w:p>
        </w:tc>
        <w:tc>
          <w:tcPr>
            <w:tcW w:type="dxa" w:w="2304"/>
            <w:shd w:fill="E8F5E9"/>
            <w:tcMar>
              <w:top w:w="90" w:type="dxa"/>
              <w:bottom w:w="90" w:type="dxa"/>
              <w:left w:w="120" w:type="dxa"/>
              <w:right w:w="120" w:type="dxa"/>
            </w:tcMar>
          </w:tcPr>
          <w:p>
            <w:r>
              <w:rPr>
                <w:rFonts w:ascii="Arial" w:hAnsi="Arial"/>
                <w:color w:val="263238"/>
                <w:sz w:val="17"/>
              </w:rPr>
              <w:t>Catálogo de Empleados y Usabilidad Móvil</w:t>
            </w:r>
          </w:p>
        </w:tc>
        <w:tc>
          <w:tcPr>
            <w:tcW w:type="dxa" w:w="2592"/>
            <w:shd w:fill="E8F5E9"/>
            <w:tcMar>
              <w:top w:w="90" w:type="dxa"/>
              <w:bottom w:w="90" w:type="dxa"/>
              <w:left w:w="120" w:type="dxa"/>
              <w:right w:w="120" w:type="dxa"/>
            </w:tcMar>
          </w:tcPr>
          <w:p>
            <w:r>
              <w:rPr>
                <w:rFonts w:ascii="Arial" w:hAnsi="Arial"/>
                <w:color w:val="263238"/>
                <w:sz w:val="17"/>
              </w:rPr>
              <w:t>Obligaría a crear 'empleados ficticios' para registrar labores técnicas. Bloqueo injustificado del formulario de captura.</w:t>
            </w:r>
          </w:p>
        </w:tc>
      </w:tr>
      <w:tr>
        <w:tc>
          <w:tcPr>
            <w:tcW w:type="dxa" w:w="2592"/>
            <w:shd w:fill="FFFFFF"/>
            <w:tcMar>
              <w:top w:w="90" w:type="dxa"/>
              <w:bottom w:w="90" w:type="dxa"/>
              <w:left w:w="120" w:type="dxa"/>
              <w:right w:w="120" w:type="dxa"/>
            </w:tcMar>
          </w:tcPr>
          <w:p>
            <w:r>
              <w:rPr>
                <w:rFonts w:ascii="Arial" w:hAnsi="Arial"/>
                <w:b/>
                <w:color w:val="1B5E20"/>
                <w:sz w:val="17"/>
              </w:rPr>
              <w:t>4. Exclusión de Rendimiento en Propagación Especial</w:t>
            </w:r>
          </w:p>
        </w:tc>
        <w:tc>
          <w:tcPr>
            <w:tcW w:type="dxa" w:w="1872"/>
            <w:shd w:fill="FFFFFF"/>
            <w:tcMar>
              <w:top w:w="90" w:type="dxa"/>
              <w:bottom w:w="90" w:type="dxa"/>
              <w:left w:w="120" w:type="dxa"/>
              <w:right w:w="120" w:type="dxa"/>
            </w:tcMar>
          </w:tcPr>
          <w:p>
            <w:pPr>
              <w:jc w:val="center"/>
            </w:pPr>
            <w:r>
              <w:rPr>
                <w:rFonts w:ascii="Arial" w:hAnsi="Arial"/>
                <w:b/>
                <w:color w:val="C62828"/>
                <w:sz w:val="17"/>
              </w:rPr>
              <w:t>CRÍTICA</w:t>
              <w:br/>
              <w:t>(9.0 / 10)</w:t>
            </w:r>
          </w:p>
        </w:tc>
        <w:tc>
          <w:tcPr>
            <w:tcW w:type="dxa" w:w="2304"/>
            <w:shd w:fill="FFFFFF"/>
            <w:tcMar>
              <w:top w:w="90" w:type="dxa"/>
              <w:bottom w:w="90" w:type="dxa"/>
              <w:left w:w="120" w:type="dxa"/>
              <w:right w:w="120" w:type="dxa"/>
            </w:tcMar>
          </w:tcPr>
          <w:p>
            <w:r>
              <w:rPr>
                <w:rFonts w:ascii="Arial" w:hAnsi="Arial"/>
                <w:color w:val="263238"/>
                <w:sz w:val="17"/>
              </w:rPr>
              <w:t>Evaluación de Desempeño y Bonificaciones</w:t>
            </w:r>
          </w:p>
        </w:tc>
        <w:tc>
          <w:tcPr>
            <w:tcW w:type="dxa" w:w="2592"/>
            <w:shd w:fill="FFFFFF"/>
            <w:tcMar>
              <w:top w:w="90" w:type="dxa"/>
              <w:bottom w:w="90" w:type="dxa"/>
              <w:left w:w="120" w:type="dxa"/>
              <w:right w:w="120" w:type="dxa"/>
            </w:tcMar>
          </w:tcPr>
          <w:p>
            <w:r>
              <w:rPr>
                <w:rFonts w:ascii="Arial" w:hAnsi="Arial"/>
                <w:color w:val="263238"/>
                <w:sz w:val="17"/>
              </w:rPr>
              <w:t>Distorsión grave de rankings de sembradores. Operarios técnicos aparecerían con pésimo rendimiento injustamente.</w:t>
            </w:r>
          </w:p>
        </w:tc>
      </w:tr>
      <w:tr>
        <w:tc>
          <w:tcPr>
            <w:tcW w:type="dxa" w:w="2592"/>
            <w:shd w:fill="E8F5E9"/>
            <w:tcMar>
              <w:top w:w="90" w:type="dxa"/>
              <w:bottom w:w="90" w:type="dxa"/>
              <w:left w:w="120" w:type="dxa"/>
              <w:right w:w="120" w:type="dxa"/>
            </w:tcMar>
          </w:tcPr>
          <w:p>
            <w:r>
              <w:rPr>
                <w:rFonts w:ascii="Arial" w:hAnsi="Arial"/>
                <w:b/>
                <w:color w:val="1B5E20"/>
                <w:sz w:val="17"/>
              </w:rPr>
              <w:t>5. Bloqueo Temporal de Inmutabilidad a 2 Días</w:t>
            </w:r>
          </w:p>
        </w:tc>
        <w:tc>
          <w:tcPr>
            <w:tcW w:type="dxa" w:w="1872"/>
            <w:shd w:fill="E8F5E9"/>
            <w:tcMar>
              <w:top w:w="90" w:type="dxa"/>
              <w:bottom w:w="90" w:type="dxa"/>
              <w:left w:w="120" w:type="dxa"/>
              <w:right w:w="120" w:type="dxa"/>
            </w:tcMar>
          </w:tcPr>
          <w:p>
            <w:pPr>
              <w:jc w:val="center"/>
            </w:pPr>
            <w:r>
              <w:rPr>
                <w:rFonts w:ascii="Arial" w:hAnsi="Arial"/>
                <w:b/>
                <w:color w:val="C62828"/>
                <w:sz w:val="17"/>
              </w:rPr>
              <w:t>CRÍTICA</w:t>
              <w:br/>
              <w:t>(10.0 / 10)</w:t>
            </w:r>
          </w:p>
        </w:tc>
        <w:tc>
          <w:tcPr>
            <w:tcW w:type="dxa" w:w="2304"/>
            <w:shd w:fill="E8F5E9"/>
            <w:tcMar>
              <w:top w:w="90" w:type="dxa"/>
              <w:bottom w:w="90" w:type="dxa"/>
              <w:left w:w="120" w:type="dxa"/>
              <w:right w:w="120" w:type="dxa"/>
            </w:tcMar>
          </w:tcPr>
          <w:p>
            <w:r>
              <w:rPr>
                <w:rFonts w:ascii="Arial" w:hAnsi="Arial"/>
                <w:color w:val="263238"/>
                <w:sz w:val="17"/>
              </w:rPr>
              <w:t>Gobernanza de Datos, ERP y Auditoría Contable</w:t>
            </w:r>
          </w:p>
        </w:tc>
        <w:tc>
          <w:tcPr>
            <w:tcW w:type="dxa" w:w="2592"/>
            <w:shd w:fill="E8F5E9"/>
            <w:tcMar>
              <w:top w:w="90" w:type="dxa"/>
              <w:bottom w:w="90" w:type="dxa"/>
              <w:left w:w="120" w:type="dxa"/>
              <w:right w:w="120" w:type="dxa"/>
            </w:tcMar>
          </w:tcPr>
          <w:p>
            <w:r>
              <w:rPr>
                <w:rFonts w:ascii="Arial" w:hAnsi="Arial"/>
                <w:color w:val="263238"/>
                <w:sz w:val="17"/>
              </w:rPr>
              <w:t>Riesgo de fraude, borrado accidental de siembras históricas y desincronización caótica con Microsoft Access.</w:t>
            </w:r>
          </w:p>
        </w:tc>
      </w:tr>
      <w:tr>
        <w:tc>
          <w:tcPr>
            <w:tcW w:type="dxa" w:w="2592"/>
            <w:shd w:fill="FFFFFF"/>
            <w:tcMar>
              <w:top w:w="90" w:type="dxa"/>
              <w:bottom w:w="90" w:type="dxa"/>
              <w:left w:w="120" w:type="dxa"/>
              <w:right w:w="120" w:type="dxa"/>
            </w:tcMar>
          </w:tcPr>
          <w:p>
            <w:r>
              <w:rPr>
                <w:rFonts w:ascii="Arial" w:hAnsi="Arial"/>
                <w:b/>
                <w:color w:val="1B5E20"/>
                <w:sz w:val="17"/>
              </w:rPr>
              <w:t>6. Gamificación, Podio y Reportes PDF</w:t>
            </w:r>
          </w:p>
        </w:tc>
        <w:tc>
          <w:tcPr>
            <w:tcW w:type="dxa" w:w="1872"/>
            <w:shd w:fill="FFFFFF"/>
            <w:tcMar>
              <w:top w:w="90" w:type="dxa"/>
              <w:bottom w:w="90" w:type="dxa"/>
              <w:left w:w="120" w:type="dxa"/>
              <w:right w:w="120" w:type="dxa"/>
            </w:tcMar>
          </w:tcPr>
          <w:p>
            <w:pPr>
              <w:jc w:val="center"/>
            </w:pPr>
            <w:r>
              <w:rPr>
                <w:rFonts w:ascii="Arial" w:hAnsi="Arial"/>
                <w:b/>
                <w:color w:val="EF6C00"/>
                <w:sz w:val="17"/>
              </w:rPr>
              <w:t>MEDIA-ALTA</w:t>
              <w:br/>
              <w:t>(7.5 / 10)</w:t>
            </w:r>
          </w:p>
        </w:tc>
        <w:tc>
          <w:tcPr>
            <w:tcW w:type="dxa" w:w="2304"/>
            <w:shd w:fill="FFFFFF"/>
            <w:tcMar>
              <w:top w:w="90" w:type="dxa"/>
              <w:bottom w:w="90" w:type="dxa"/>
              <w:left w:w="120" w:type="dxa"/>
              <w:right w:w="120" w:type="dxa"/>
            </w:tcMar>
          </w:tcPr>
          <w:p>
            <w:r>
              <w:rPr>
                <w:rFonts w:ascii="Arial" w:hAnsi="Arial"/>
                <w:color w:val="263238"/>
                <w:sz w:val="17"/>
              </w:rPr>
              <w:t>Supervisión Diaria y Motivación Laboral</w:t>
            </w:r>
          </w:p>
        </w:tc>
        <w:tc>
          <w:tcPr>
            <w:tcW w:type="dxa" w:w="2592"/>
            <w:shd w:fill="FFFFFF"/>
            <w:tcMar>
              <w:top w:w="90" w:type="dxa"/>
              <w:bottom w:w="90" w:type="dxa"/>
              <w:left w:w="120" w:type="dxa"/>
              <w:right w:w="120" w:type="dxa"/>
            </w:tcMar>
          </w:tcPr>
          <w:p>
            <w:r>
              <w:rPr>
                <w:rFonts w:ascii="Arial" w:hAnsi="Arial"/>
                <w:color w:val="263238"/>
                <w:sz w:val="17"/>
              </w:rPr>
              <w:t>Pérdida de motivación y clima competitivo. Retorno a transcripción manual de reportes en papel o Excel.</w:t>
            </w:r>
          </w:p>
        </w:tc>
      </w:tr>
      <w:tr>
        <w:tc>
          <w:tcPr>
            <w:tcW w:type="dxa" w:w="2592"/>
            <w:shd w:fill="FFF3E0"/>
            <w:tcMar>
              <w:top w:w="90" w:type="dxa"/>
              <w:bottom w:w="90" w:type="dxa"/>
              <w:left w:w="120" w:type="dxa"/>
              <w:right w:w="120" w:type="dxa"/>
            </w:tcMar>
          </w:tcPr>
          <w:p>
            <w:r>
              <w:rPr>
                <w:rFonts w:ascii="Arial" w:hAnsi="Arial"/>
                <w:b/>
                <w:color w:val="1B5E20"/>
                <w:sz w:val="17"/>
              </w:rPr>
              <w:t>7. Servidor Backend e Iniciar Backend (iniciar_backend.bat)</w:t>
            </w:r>
          </w:p>
        </w:tc>
        <w:tc>
          <w:tcPr>
            <w:tcW w:type="dxa" w:w="1872"/>
            <w:shd w:fill="FFF3E0"/>
            <w:tcMar>
              <w:top w:w="90" w:type="dxa"/>
              <w:bottom w:w="90" w:type="dxa"/>
              <w:left w:w="120" w:type="dxa"/>
              <w:right w:w="120" w:type="dxa"/>
            </w:tcMar>
          </w:tcPr>
          <w:p>
            <w:pPr>
              <w:jc w:val="center"/>
            </w:pPr>
            <w:r>
              <w:rPr>
                <w:rFonts w:ascii="Arial" w:hAnsi="Arial"/>
                <w:b/>
                <w:color w:val="D50000"/>
                <w:sz w:val="17"/>
              </w:rPr>
              <w:t>CRÍTICA ABSOLUTA</w:t>
              <w:br/>
              <w:t>(10.0 / 10)</w:t>
            </w:r>
          </w:p>
        </w:tc>
        <w:tc>
          <w:tcPr>
            <w:tcW w:type="dxa" w:w="2304"/>
            <w:shd w:fill="FFF3E0"/>
            <w:tcMar>
              <w:top w:w="90" w:type="dxa"/>
              <w:bottom w:w="90" w:type="dxa"/>
              <w:left w:w="120" w:type="dxa"/>
              <w:right w:w="120" w:type="dxa"/>
            </w:tcMar>
          </w:tcPr>
          <w:p>
            <w:r>
              <w:rPr>
                <w:rFonts w:ascii="Arial" w:hAnsi="Arial"/>
                <w:color w:val="263238"/>
                <w:sz w:val="17"/>
              </w:rPr>
              <w:t>Infraestructura, Conectividad y Base de Datos Access</w:t>
            </w:r>
          </w:p>
        </w:tc>
        <w:tc>
          <w:tcPr>
            <w:tcW w:type="dxa" w:w="2592"/>
            <w:shd w:fill="FFF3E0"/>
            <w:tcMar>
              <w:top w:w="90" w:type="dxa"/>
              <w:bottom w:w="90" w:type="dxa"/>
              <w:left w:w="120" w:type="dxa"/>
              <w:right w:w="120" w:type="dxa"/>
            </w:tcMar>
          </w:tcPr>
          <w:p>
            <w:r>
              <w:rPr>
                <w:rFonts w:ascii="Arial" w:hAnsi="Arial"/>
                <w:color w:val="263238"/>
                <w:sz w:val="17"/>
              </w:rPr>
              <w:t>Incomunicación total de celulares. Imposibilidad de sincronizar con Access. Riesgo fatal de corrupción de la BD de 865 MB.</w:t>
            </w:r>
          </w:p>
        </w:tc>
      </w:tr>
    </w:tbl>
    <w:p>
      <w:pPr>
        <w:spacing w:before="160" w:after="160"/>
      </w:pPr>
    </w:p>
    <w:p>
      <w:pPr>
        <w:keepNext/>
        <w:spacing w:before="280" w:after="120"/>
      </w:pPr>
      <w:r>
        <w:rPr>
          <w:rFonts w:ascii="Arial" w:hAnsi="Arial"/>
          <w:b/>
          <w:color w:val="1B5E20"/>
          <w:sz w:val="28"/>
        </w:rPr>
        <w:t>9. Conclusiones, Arquitectura Integral y Dictamen de Calidad de Software</w:t>
      </w:r>
    </w:p>
    <w:p>
      <w:pPr>
        <w:spacing w:before="40" w:after="100" w:line="276" w:lineRule="auto"/>
      </w:pPr>
      <w:r>
        <w:rPr>
          <w:rFonts w:ascii="Arial" w:hAnsi="Arial"/>
          <w:color w:val="263238"/>
          <w:sz w:val="19"/>
        </w:rPr>
        <w:t>Cada uno de los 7 componentes analizados en este informe técnico responde a una necesidad agronómica, operativa, de infraestructura o de gobernanza concreta de Buenavista Flowers. No existen funcionalidades accesorias o redundantes en la arquitectura del sistema:</w:t>
        <w:br/>
        <w:br/>
        <w:t>• Sinergia Matemática y Física: La combinación de la división bilateral (13/12 y 11/11) junto al régimen transversal 'Pasó al otro lado' garantiza que la aplicación móvil refleje exactamente la realidad física del invernadero con 100% de precisión matemática.</w:t>
        <w:br/>
        <w:t>• Pureza de Nómina y Rendimiento: El desacoplamiento y exclusión de plantas madre, bancos y núcleos preserva la legitimidad de las tablas salariales y evita castigar injustamente a operarios calificados en labores técnicas de propagación.</w:t>
        <w:br/>
        <w:t>• Blindaje y Gobernanza Contable: La regla de inmutabilidad a 2 días (48 horas) congela los datos móviles y centraliza las correcciones de auditoría en Microsoft Access.</w:t>
        <w:br/>
        <w:t>• Robustez de Infraestructura Backend: El servidor FastAPI con 'iniciar_backend.bat' actúa como el corazón del sistema, habilitando la arquitectura Offline-First y protegiendo la base de datos empresarial de 865 MB contra concurrencias destructivas mediante 'db_lock' y respaldos continuos en 'backups_seguridad/'.</w:t>
        <w:br/>
        <w:br/>
        <w:t>El sistema integral en su versión de producción v1.1.0 ha sido verificado satisfactoriamente en hardware real (Motorola Moto G52) y en el servidor local de Windows, certificando su estabilidad, fiabilidad y preparación para operaciones continuas de exportación.</w:t>
      </w:r>
    </w:p>
    <w:tbl>
      <w:tblPr>
        <w:tblW w:type="auto" w:w="0"/>
        <w:jc w:val="center"/>
        <w:tblLayout w:type="fixed"/>
        <w:tblLook w:firstColumn="1" w:firstRow="1" w:lastColumn="0" w:lastRow="0" w:noHBand="0" w:noVBand="1" w:val="04A0"/>
      </w:tblPr>
      <w:tblGrid>
        <w:gridCol w:w="9792"/>
      </w:tblGrid>
      <w:tr>
        <w:tc>
          <w:tcPr>
            <w:tcW w:type="dxa" w:w="9360"/>
            <w:shd w:fill="E8F5E9"/>
            <w:tcMar>
              <w:top w:w="140" w:type="dxa"/>
              <w:bottom w:w="140" w:type="dxa"/>
              <w:left w:w="200" w:type="dxa"/>
              <w:right w:w="200" w:type="dxa"/>
            </w:tcMar>
            <w:tcBorders>
              <w:left w:val="single" w:sz="36" w:space="0" w:color="2E7D32"/>
              <w:top w:val="none"/>
              <w:right w:val="none"/>
              <w:bottom w:val="none"/>
            </w:tcBorders>
          </w:tcPr>
          <w:p>
            <w:pPr>
              <w:spacing w:before="40" w:after="40"/>
            </w:pPr>
            <w:r>
              <w:rPr>
                <w:rFonts w:ascii="Arial" w:hAnsi="Arial"/>
                <w:b/>
                <w:color w:val="1B5E20"/>
                <w:sz w:val="21"/>
              </w:rPr>
              <w:t>CERTIFICACIÓN Y CONFORMIDAD TÉCNICA DE DESARROLLO</w:t>
              <w:br/>
            </w:r>
          </w:p>
          <w:p>
            <w:pPr>
              <w:spacing w:before="40" w:after="40" w:line="276" w:lineRule="auto"/>
            </w:pPr>
            <w:r>
              <w:rPr>
                <w:rFonts w:ascii="Arial" w:hAnsi="Arial"/>
                <w:color w:val="263238"/>
                <w:sz w:val="19"/>
              </w:rPr>
              <w:t>Ingeniero de Software: Fernan Julián Pérez Gutiérrez (@FernanJPG1)</w:t>
              <w:br/>
              <w:t>Contacto: fernansecr@gmail.com • Departamento de Tecnología Buenavista Flowers</w:t>
              <w:br/>
              <w:t>Fecha de Emisión: Octubre 6 de 2026 • Estado: Documento Aprobado y Certificado</w:t>
              <w:br/>
              <w:t>Repositorio Oficial: FernanJPG1/PROYECTO_SIEMBRAS (Branch: main)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