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Universidad Tecnológica de El Salvador</w:t>
      </w:r>
    </w:p>
    <w:p>
      <w:r>
        <w:rPr>
          <w:b w:val="0"/>
          <w:sz w:val="24"/>
        </w:rPr>
        <w:t>Técnico en Desarrollo de Software</w:t>
      </w:r>
    </w:p>
    <w:p>
      <w:r>
        <w:rPr>
          <w:b w:val="0"/>
          <w:sz w:val="24"/>
        </w:rPr>
        <w:t>Lenguaje Modelado Unificado UML</w:t>
      </w:r>
    </w:p>
    <w:p>
      <w:pPr>
        <w:pStyle w:val="Title"/>
      </w:pPr>
      <w:r>
        <w:rPr>
          <w:b w:val="0"/>
        </w:rPr>
        <w:t>Arquitectura de estados de LogiFlow 360</w:t>
      </w:r>
    </w:p>
    <w:p>
      <w:r>
        <w:rPr>
          <w:b w:val="0"/>
          <w:sz w:val="30"/>
        </w:rPr>
        <w:t>Informe técnico de ingeniería</w:t>
      </w:r>
    </w:p>
    <w:p>
      <w:r>
        <w:rPr>
          <w:b w:val="0"/>
          <w:sz w:val="24"/>
        </w:rPr>
        <w:t>Máquinas de estados UML 2.5 y propuesta de persistencia y patrón State</w:t>
      </w:r>
    </w:p>
    <w:p>
      <w:r>
        <w:rPr>
          <w:b/>
          <w:sz w:val="26"/>
        </w:rPr>
        <w:t>Equipo 04</w:t>
      </w:r>
    </w:p>
    <w:p>
      <w:r>
        <w:rPr>
          <w:b w:val="0"/>
        </w:rPr>
        <w:t>Docente  Juan José Santos Escobar</w:t>
      </w:r>
    </w:p>
    <w:p>
      <w:r>
        <w:rPr>
          <w:b w:val="0"/>
        </w:rPr>
        <w:t>Fecha de elaboración  16 de octubre de 2026</w:t>
      </w:r>
    </w:p>
    <w:p>
      <w:pPr>
        <w:pStyle w:val="Heading2"/>
      </w:pPr>
      <w:r>
        <w:rPr>
          <w:b w:val="0"/>
        </w:rPr>
        <w:t>Asignación formal de responsabilidades</w:t>
      </w:r>
    </w:p>
    <w:tbl>
      <w:tblPr>
        <w:tblW w:type="auto" w:w="0"/>
        <w:jc w:val="center"/>
        <w:tblLayout w:type="fixed"/>
        <w:tblLook w:firstColumn="1" w:firstRow="1" w:lastColumn="0" w:lastRow="0" w:noHBand="0" w:noVBand="1" w:val="04A0"/>
      </w:tblPr>
      <w:tblGrid>
        <w:gridCol w:w="504"/>
        <w:gridCol w:w="3816"/>
        <w:gridCol w:w="4248"/>
        <w:gridCol w:w="1512"/>
      </w:tblGrid>
      <w:tr>
        <w:trPr>
          <w:cantSplit/>
          <w:tblHeader/>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spacing w:before="60" w:after="60" w:line="252" w:lineRule="auto"/>
              <w:jc w:val="center"/>
            </w:pPr>
            <w:r>
              <w:rPr>
                <w:b/>
                <w:sz w:val="19"/>
              </w:rPr>
              <w:t>Rol</w:t>
            </w:r>
          </w:p>
        </w:tc>
        <w:tc>
          <w:tcPr>
            <w:tcW w:type="dxa" w:w="38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spacing w:before="60" w:after="60" w:line="252" w:lineRule="auto"/>
              <w:jc w:val="left"/>
            </w:pPr>
            <w:r>
              <w:rPr>
                <w:b/>
                <w:sz w:val="19"/>
              </w:rPr>
              <w:t>Responsabilidad</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spacing w:before="60" w:after="60" w:line="252" w:lineRule="auto"/>
              <w:jc w:val="left"/>
            </w:pPr>
            <w:r>
              <w:rPr>
                <w:b/>
                <w:sz w:val="19"/>
              </w:rPr>
              <w:t>Integrante</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spacing w:before="60" w:after="60" w:line="252" w:lineRule="auto"/>
              <w:jc w:val="center"/>
            </w:pPr>
            <w:r>
              <w:rPr>
                <w:b/>
                <w:sz w:val="19"/>
              </w:rPr>
              <w:t>Participación</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center"/>
            </w:pPr>
            <w:r>
              <w:rPr>
                <w:b w:val="0"/>
                <w:sz w:val="19"/>
              </w:rPr>
              <w:t>1</w:t>
            </w:r>
          </w:p>
        </w:tc>
        <w:tc>
          <w:tcPr>
            <w:tcW w:type="dxa" w:w="38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left"/>
            </w:pPr>
            <w:r>
              <w:rPr>
                <w:b w:val="0"/>
                <w:sz w:val="19"/>
              </w:rPr>
              <w:t>Líder de Arquitectura y Modelado UML</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left"/>
            </w:pPr>
            <w:r>
              <w:rPr>
                <w:b w:val="0"/>
                <w:sz w:val="19"/>
              </w:rPr>
              <w:t>ANDERSON ERNESTO CASTILLO NAVARRETE</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center"/>
            </w:pPr>
            <w:r>
              <w:rPr>
                <w:b w:val="0"/>
                <w:sz w:val="19"/>
              </w:rPr>
              <w:t>30 %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center"/>
            </w:pPr>
            <w:r>
              <w:rPr>
                <w:b w:val="0"/>
                <w:sz w:val="19"/>
              </w:rPr>
              <w:t>2</w:t>
            </w:r>
          </w:p>
        </w:tc>
        <w:tc>
          <w:tcPr>
            <w:tcW w:type="dxa" w:w="38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left"/>
            </w:pPr>
            <w:r>
              <w:rPr>
                <w:b w:val="0"/>
                <w:sz w:val="19"/>
              </w:rPr>
              <w:t>Especialista en Reglas de Negocio y Casos de Borde</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left"/>
            </w:pPr>
            <w:r>
              <w:rPr>
                <w:b w:val="0"/>
                <w:sz w:val="19"/>
              </w:rPr>
              <w:t>CARLOS DANIEL RIVAS GARCIA</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center"/>
            </w:pPr>
            <w:r>
              <w:rPr>
                <w:b w:val="0"/>
                <w:sz w:val="19"/>
              </w:rPr>
              <w:t>0 %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center"/>
            </w:pPr>
            <w:r>
              <w:rPr>
                <w:b w:val="0"/>
                <w:sz w:val="19"/>
              </w:rPr>
              <w:t>3</w:t>
            </w:r>
          </w:p>
        </w:tc>
        <w:tc>
          <w:tcPr>
            <w:tcW w:type="dxa" w:w="38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left"/>
            </w:pPr>
            <w:r>
              <w:rPr>
                <w:b w:val="0"/>
                <w:sz w:val="19"/>
              </w:rPr>
              <w:t>Ingeniero de Documentación Técnica y Matrices QA</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left"/>
            </w:pPr>
            <w:r>
              <w:rPr>
                <w:b w:val="0"/>
                <w:sz w:val="19"/>
              </w:rPr>
              <w:t>JOSÉ FERNANDO DÍAZ DEL CID</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center"/>
            </w:pPr>
            <w:r>
              <w:rPr>
                <w:b w:val="0"/>
                <w:sz w:val="19"/>
              </w:rPr>
              <w:t>40 %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center"/>
            </w:pPr>
            <w:r>
              <w:rPr>
                <w:b w:val="0"/>
                <w:sz w:val="19"/>
              </w:rPr>
              <w:t>4</w:t>
            </w:r>
          </w:p>
        </w:tc>
        <w:tc>
          <w:tcPr>
            <w:tcW w:type="dxa" w:w="38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left"/>
            </w:pPr>
            <w:r>
              <w:rPr>
                <w:b w:val="0"/>
                <w:sz w:val="19"/>
              </w:rPr>
              <w:t>Especialista en Integración, BD y Patrón State</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left"/>
            </w:pPr>
            <w:r>
              <w:rPr>
                <w:b w:val="0"/>
                <w:sz w:val="19"/>
              </w:rPr>
              <w:t>ANTHONY ENRIQUE ALVARENGA RIVAS</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spacing w:before="60" w:after="60" w:line="252" w:lineRule="auto"/>
              <w:jc w:val="center"/>
            </w:pPr>
            <w:r>
              <w:rPr>
                <w:b w:val="0"/>
                <w:sz w:val="19"/>
              </w:rPr>
              <w:t>30 %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center"/>
            </w:pPr>
            <w:r>
              <w:rPr>
                <w:b w:val="0"/>
                <w:sz w:val="19"/>
              </w:rPr>
              <w:t>5</w:t>
            </w:r>
          </w:p>
        </w:tc>
        <w:tc>
          <w:tcPr>
            <w:tcW w:type="dxa" w:w="38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left"/>
            </w:pPr>
            <w:r>
              <w:rPr>
                <w:b w:val="0"/>
                <w:sz w:val="19"/>
              </w:rPr>
              <w:t>Defensor de Negocio y Portavoz Técnico (Product Advocate)</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left"/>
            </w:pPr>
            <w:r>
              <w:rPr>
                <w:b w:val="0"/>
                <w:sz w:val="19"/>
              </w:rPr>
              <w:t>DIEGO ENRIQUE VÁSQUEZ SARACAY</w:t>
            </w:r>
          </w:p>
        </w:tc>
        <w:tc>
          <w:tcPr>
            <w:tcW w:type="dxa" w:w="15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before="60" w:after="60" w:line="252" w:lineRule="auto"/>
              <w:jc w:val="center"/>
            </w:pPr>
            <w:r>
              <w:rPr>
                <w:b w:val="0"/>
                <w:sz w:val="19"/>
              </w:rPr>
              <w:t>0 %</w:t>
            </w:r>
          </w:p>
        </w:tc>
      </w:tr>
    </w:tbl>
    <w:p>
      <w:pPr>
        <w:pStyle w:val="Heading2"/>
      </w:pPr>
      <w:r>
        <w:rPr>
          <w:b w:val="0"/>
        </w:rPr>
        <w:t>Repositorio</w:t>
      </w:r>
    </w:p>
    <w:p>
      <w:r>
        <w:rPr>
          <w:b w:val="0"/>
          <w:sz w:val="18"/>
        </w:rPr>
        <w:t>github.com/Fernand503/Equipo_04_LogiFlow360_AnalisisEstados</w:t>
      </w:r>
    </w:p>
    <w:p>
      <w:r>
        <w:rPr>
          <w:b w:val="0"/>
          <w:sz w:val="18"/>
        </w:rPr>
        <w:t>Participación declarada por el equipo: 100 % en total.</w:t>
      </w:r>
    </w:p>
    <w:p>
      <w:pPr>
        <w:sectPr>
          <w:footerReference w:type="default" r:id="rId9"/>
          <w:pgSz w:w="12240" w:h="15840"/>
          <w:pgMar w:top="1008" w:right="1080" w:bottom="1008" w:left="1080" w:header="288" w:footer="360" w:gutter="0"/>
          <w:cols w:space="720"/>
          <w:docGrid w:linePitch="360"/>
        </w:sectPr>
      </w:pPr>
    </w:p>
    <w:p>
      <w:pPr>
        <w:pStyle w:val="Heading1"/>
      </w:pPr>
      <w:r>
        <w:rPr>
          <w:b w:val="0"/>
        </w:rPr>
        <w:t>Introducción y alcance</w:t>
      </w:r>
    </w:p>
    <w:p>
      <w:r>
        <w:rPr>
          <w:b w:val="0"/>
        </w:rPr>
        <w:t>LogiFlow 360° integra comercio electrónico, pagos, logística de última milla, casilleros inteligentes, inventario y atención de incidencias. El modelo define cómo cambia cada entidad ante eventos válidos, qué condiciones debe cumplir y cómo responde a los errores. Su propósito es evitar estados contradictorios y ofrecer un contrato común para desarrollo y verificación.</w:t>
      </w:r>
    </w:p>
    <w:p>
      <w:r>
        <w:rPr>
          <w:b w:val="0"/>
        </w:rPr>
        <w:t>El entregable contiene diez máquinas independientes, 219 transiciones documentadas, sus matrices y un diagrama de clases del patrón State. Java y SQL son propuestas ejecutables para demostrar el control de estados; las acciones hacia bancos, sensores y servicios son contratos de integración. La aplicación completa queda fuera del alcance de esta práctica.</w:t>
      </w:r>
    </w:p>
    <w:p>
      <w:pPr>
        <w:pStyle w:val="Heading2"/>
      </w:pPr>
      <w:r>
        <w:rPr>
          <w:b w:val="0"/>
        </w:rPr>
        <w:t>Convenciones y organización</w:t>
      </w:r>
    </w:p>
    <w:p>
      <w:r>
        <w:rPr>
          <w:b w:val="0"/>
          <w:sz w:val="20"/>
        </w:rPr>
        <w:t>Cada paquete 01 a 10 contiene SM_Entidad y SMD_Entidad. El paquete 11 contiene CD_PatronState_PaqueteFisico. Los estados describen situaciones del objeto. Las transiciones registran Evento() [Guarda] / Accion() en campos propios. Las salidas de Choice no tienen trigger; Initial no tiene guarda ni trigger. Final cierra el ciclo y no tiene salidas.</w:t>
      </w:r>
    </w:p>
    <w:p>
      <w:r>
        <w:rPr>
          <w:b w:val="0"/>
          <w:sz w:val="20"/>
        </w:rPr>
        <w:t>Compuesto::Subestado indica anidación. Una transición desde el compuesto se hereda en sus subestados. Las transiciones internas conservan entry y exit. after() representa duración relativa; at() conserva un vencimiento absoluto persistido. Las guardas son condiciones sin efectos secundarios.</w:t>
      </w:r>
    </w:p>
    <w:tbl>
      <w:tblPr>
        <w:tblW w:type="auto" w:w="0"/>
        <w:jc w:val="center"/>
        <w:tblLayout w:type="fixed"/>
        <w:tblLook w:firstColumn="1" w:firstRow="1" w:lastColumn="0" w:lastRow="0" w:noHBand="0" w:noVBand="1" w:val="04A0"/>
      </w:tblPr>
      <w:tblGrid>
        <w:gridCol w:w="5328"/>
        <w:gridCol w:w="1008"/>
        <w:gridCol w:w="1152"/>
        <w:gridCol w:w="1152"/>
      </w:tblGrid>
      <w:tr>
        <w:trPr>
          <w:cantSplit/>
          <w:tblHeader/>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jc w:val="center"/>
            </w:pPr>
            <w:r>
              <w:rPr>
                <w:b/>
                <w:color w:val="000000"/>
                <w:sz w:val="17"/>
              </w:rPr>
              <w:t>Entidad</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Estados</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Transiciones</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Choice</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OrdenDeCompra</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10</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0</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TransaccionDePago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35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2</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PaqueteFisico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23</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VehiculoDeReparto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CasilleroInteligente</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14</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39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TicketDeSoporte</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17</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SolicitudDeDevolucion</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10</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20</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2</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LoteDeInventario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2</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CuentaDeConductor</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14</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0</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DisputaBancaria</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w:t>
            </w:r>
          </w:p>
        </w:tc>
      </w:tr>
    </w:tbl>
    <w:p>
      <w:r>
        <w:rPr>
          <w:b w:val="0"/>
          <w:sz w:val="18"/>
        </w:rPr>
        <w:t>El checklist alcanza 10 Initial válidos, Final en los ocho ciclos con fin natural, cuatro diagramas con compuestos, seis con after() y ocho con Choice. La alcanzabilidad revisada es topológica; no equivale a demostrar todas las combinaciones de guardas.</w:t>
      </w:r>
    </w:p>
    <w:p>
      <w:pPr>
        <w:sectPr>
          <w:footerReference w:type="default" r:id="rId10"/>
          <w:pgSz w:w="12240" w:h="15840"/>
          <w:pgMar w:top="1008" w:right="1080" w:bottom="1008" w:left="1080" w:header="288" w:footer="360" w:gutter="0"/>
          <w:cols w:space="720"/>
          <w:docGrid w:linePitch="360"/>
        </w:sectPr>
      </w:pPr>
    </w:p>
    <w:p>
      <w:pPr>
        <w:pStyle w:val="Heading1"/>
      </w:pPr>
      <w:r>
        <w:rPr>
          <w:b w:val="0"/>
        </w:rPr>
        <w:t>Ficha 01 OrdenDeCompra</w:t>
      </w:r>
    </w:p>
    <w:p>
      <w:r>
        <w:rPr>
          <w:b w:val="0"/>
          <w:sz w:val="22"/>
        </w:rPr>
        <w:t>Entidad agregadora de la compra, desde el carrito hasta la entrega o cancelación.  Estados 10  |  Transiciones 19</w:t>
      </w:r>
    </w:p>
    <w:p>
      <w:pPr>
        <w:spacing w:after="60"/>
        <w:jc w:val="center"/>
      </w:pPr>
      <w:r>
        <w:drawing>
          <wp:inline xmlns:a="http://schemas.openxmlformats.org/drawingml/2006/main" xmlns:pic="http://schemas.openxmlformats.org/drawingml/2006/picture">
            <wp:extent cx="8257638" cy="6995160"/>
            <wp:docPr id="1" name="Picture 1" descr="SMD OrdenDeCompra"/>
            <wp:cNvGraphicFramePr>
              <a:graphicFrameLocks noChangeAspect="1"/>
            </wp:cNvGraphicFramePr>
            <a:graphic>
              <a:graphicData uri="http://schemas.openxmlformats.org/drawingml/2006/picture">
                <pic:pic>
                  <pic:nvPicPr>
                    <pic:cNvPr id="0" name="SMD_OrdenDeCompra.png"/>
                    <pic:cNvPicPr/>
                  </pic:nvPicPr>
                  <pic:blipFill>
                    <a:blip r:embed="rId12"/>
                    <a:stretch>
                      <a:fillRect/>
                    </a:stretch>
                  </pic:blipFill>
                  <pic:spPr>
                    <a:xfrm>
                      <a:off x="0" y="0"/>
                      <a:ext cx="8257638" cy="6995160"/>
                    </a:xfrm>
                    <a:prstGeom prst="rect"/>
                  </pic:spPr>
                </pic:pic>
              </a:graphicData>
            </a:graphic>
          </wp:inline>
        </w:drawing>
      </w:r>
    </w:p>
    <w:p>
      <w:pPr>
        <w:pStyle w:val="Caption"/>
      </w:pPr>
      <w:r>
        <w:rPr>
          <w:b w:val="0"/>
        </w:rPr>
        <w:t>Figura 1. SMD_OrdenDeCompra. Exportación nativa de StarUML 7.1.1 sobre fondo blanco. El PNG completo se incluye en diagramas/.</w:t>
      </w:r>
    </w:p>
    <w:p>
      <w:pPr>
        <w:pStyle w:val="Heading2"/>
      </w:pPr>
      <w:r>
        <w:rPr>
          <w:b w:val="0"/>
        </w:rPr>
        <w:t>Casos de borde y resiliencia</w:t>
      </w:r>
    </w:p>
    <w:p>
      <w:r>
        <w:rPr>
          <w:b w:val="0"/>
          <w:sz w:val="22"/>
        </w:rPr>
        <w:t>La autorización recibida dentro de 30 minutos habilita el almacén. Un pago tardío no revive una orden cancelada. La cancelación del usuario solo se acepta antes de Empacada. La falta de stock retiene la orden hasta cinco días hábiles calculados con calendario de negocio. Se libera la reserva y se registra la obligación financiera que corresponda, sin afirmar un reembolso ya acreditado.</w:t>
      </w:r>
    </w:p>
    <w:p>
      <w:pPr>
        <w:sectPr>
          <w:footerReference w:type="default" r:id="rId11"/>
          <w:pgSz w:w="23810" w:h="16838"/>
          <w:pgMar w:top="792" w:right="864" w:bottom="792" w:left="864" w:header="288" w:footer="360" w:gutter="0"/>
          <w:cols w:space="720"/>
          <w:docGrid w:linePitch="360"/>
        </w:sectPr>
      </w:pPr>
    </w:p>
    <w:p>
      <w:pPr>
        <w:pStyle w:val="Heading1"/>
      </w:pPr>
      <w:r>
        <w:rPr>
          <w:b w:val="0"/>
        </w:rPr>
        <w:t>Matriz 01 OrdenDeCompra</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Borrador_​En_​Carrito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orden nace en el carrito.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Borrador_​En_​Carrito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presionarCheckout()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[carritoValido &amp;&amp;​ reservaConfirmada]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registrarFechaLimitePago()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Esperando_​Autorizacion_​Pago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Checkout solo con carrito válido y reserva confirmada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[autorizacionValida &amp;&amp;​ reservaVigente &amp;&amp;​ ahora &lt; fechaLimitePago]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registrarAutorizacion()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En_​Procesamiento_​Almacen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Pago autorizado dentro del plazo habilita el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after(30 min)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[!pagoAutorizado]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registrarCancelacionPorTimeout()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Cancelada_​Por_​Timeout</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 pago en 30 min se cancela y se libera inventario).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[!pagoAutorizado]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registrarCancelacionPorTimeout()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Cancelada_​Por_​Timeout</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Vencimiento absoluto persistido: conserva la fecha tras reinicio. Las dos notificaciones de vencimiento se deduplican.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En_​Procesamiento_​Almacen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confirmarEmpaque()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[stockDisponible &amp;&amp;​ !cancelacionConfirmada]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registrarEmpaque()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Empacada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Empaque solo con stock disponible y sin cancelación confirmada.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En_​Procesamiento_​Almacen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detectarQuiebreStock()</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[!stockDisponible]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registrarRetencion()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Retenida_​Por_​Falta_​Stock</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Quiebre de inventario retiene la orden.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Retenida_​Por_​Falta_​Stock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confirmarReposicion()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[stockDisponible &amp;&amp;​ ahora &lt; fechaLimiteStock]</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reservarStockRepuesto()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En_​Procesamiento_​Almacen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Reposición dentro del plazo devuelve la orden a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Retenida_​Por_​Falta_​Stock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at(fechaLimiteStock)</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registrarCancelacionPorStock()</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Cancelada_​Por_​Falta_​Stock</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fechaLimiteStock = sumarDiasHabiles(inicioRetencion,5,calendarioNegocio)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Borrador_​En_​Carrito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Cancelación del usuario antes del empaquetado.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Cancelación del usuario antes del empaquetado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En_​Procesamiento_​Almacen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Cancelación del usuario antes del empaquetado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Retenida_​Por_​Falta_​Stock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Cancelación durante la retención por stock.</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Empacada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confirmarDespacho()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[manifiestoValido]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Despachada_​En_​Ruta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Despacho con manifiesto válido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Despachada_​En_​Ruta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confirmarEntrega()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registrarRecepcionCliente()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Completada_​Entregada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 confirmada solo con evidencia válida.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Cancelada_​Por_​Timeout</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Cierre comercial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Cancelada_​Por_​Usuario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Cierre comercial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Cierre tras agotar la espera de reposición.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Completada_​Entregada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natural del ciclo comercial.</w:t>
            </w:r>
          </w:p>
        </w:tc>
      </w:tr>
    </w:tbl>
    <w:p>
      <w:r>
        <w:rPr>
          <w:b w:val="0"/>
          <w:sz w:val="17"/>
        </w:rPr>
        <w:t>Fuente semántica: LogiFlow360_StateModels.mdj. Filas 01-T01 a 01-T19. La versión CSV y Markdown conserva además el tipo y la justificación completa.</w:t>
      </w:r>
    </w:p>
    <w:p>
      <w:pPr>
        <w:sectPr>
          <w:footerReference w:type="default" r:id="rId13"/>
          <w:pgSz w:w="16838" w:h="23810"/>
          <w:pgMar w:top="792" w:right="864" w:bottom="792" w:left="864" w:header="288" w:footer="360" w:gutter="0"/>
          <w:cols w:space="720"/>
          <w:docGrid w:linePitch="360"/>
        </w:sectPr>
      </w:pPr>
    </w:p>
    <w:p>
      <w:pPr>
        <w:pStyle w:val="Heading1"/>
      </w:pPr>
      <w:r>
        <w:rPr>
          <w:b w:val="0"/>
        </w:rPr>
        <w:t>Ficha 02 TransaccionDePago</w:t>
      </w:r>
    </w:p>
    <w:p>
      <w:r>
        <w:rPr>
          <w:b w:val="0"/>
          <w:sz w:val="22"/>
        </w:rPr>
        <w:t>Registro financiero individual del cobro con la pasarela y el banco emisor.  Estados 15  |  Transiciones 35</w:t>
      </w:r>
    </w:p>
    <w:p>
      <w:pPr>
        <w:spacing w:after="60"/>
        <w:jc w:val="center"/>
      </w:pPr>
      <w:r>
        <w:drawing>
          <wp:inline xmlns:a="http://schemas.openxmlformats.org/drawingml/2006/main" xmlns:pic="http://schemas.openxmlformats.org/drawingml/2006/picture">
            <wp:extent cx="8475127" cy="6995160"/>
            <wp:docPr id="2" name="Picture 2" descr="SMD TransaccionDePago"/>
            <wp:cNvGraphicFramePr>
              <a:graphicFrameLocks noChangeAspect="1"/>
            </wp:cNvGraphicFramePr>
            <a:graphic>
              <a:graphicData uri="http://schemas.openxmlformats.org/drawingml/2006/picture">
                <pic:pic>
                  <pic:nvPicPr>
                    <pic:cNvPr id="0" name="SMD_TransaccionDePago.png"/>
                    <pic:cNvPicPr/>
                  </pic:nvPicPr>
                  <pic:blipFill>
                    <a:blip r:embed="rId15"/>
                    <a:stretch>
                      <a:fillRect/>
                    </a:stretch>
                  </pic:blipFill>
                  <pic:spPr>
                    <a:xfrm>
                      <a:off x="0" y="0"/>
                      <a:ext cx="8475127" cy="6995160"/>
                    </a:xfrm>
                    <a:prstGeom prst="rect"/>
                  </pic:spPr>
                </pic:pic>
              </a:graphicData>
            </a:graphic>
          </wp:inline>
        </w:drawing>
      </w:r>
    </w:p>
    <w:p>
      <w:pPr>
        <w:pStyle w:val="Caption"/>
      </w:pPr>
      <w:r>
        <w:rPr>
          <w:b w:val="0"/>
        </w:rPr>
        <w:t>Figura 2. SMD_TransaccionDePago. Exportación nativa de StarUML 7.1.1 sobre fondo blanco. El PNG completo se incluye en diagramas/.</w:t>
      </w:r>
    </w:p>
    <w:p>
      <w:pPr>
        <w:pStyle w:val="Heading2"/>
      </w:pPr>
      <w:r>
        <w:rPr>
          <w:b w:val="0"/>
        </w:rPr>
        <w:t>Casos de borde y resiliencia</w:t>
      </w:r>
    </w:p>
    <w:p>
      <w:r>
        <w:rPr>
          <w:b w:val="0"/>
          <w:sz w:val="22"/>
        </w:rPr>
        <w:t>El límite adoptado es de tres envíos totales: uno inicial y hasta dos reintentos manuales. La caída de red lleva a conciliación; consultar no incrementa el contador ni crea un cargo. La autorización es distinta de la liquidación. La revisión manual mantiene seguimiento con responsable y fecha persistida. Las respuestas bancarias deben verificarse antes de cambiar el resultado.</w:t>
      </w:r>
    </w:p>
    <w:p>
      <w:pPr>
        <w:sectPr>
          <w:footerReference w:type="default" r:id="rId14"/>
          <w:pgSz w:w="23810" w:h="16838"/>
          <w:pgMar w:top="792" w:right="864" w:bottom="792" w:left="864" w:header="288" w:footer="360" w:gutter="0"/>
          <w:cols w:space="720"/>
          <w:docGrid w:linePitch="360"/>
        </w:sectPr>
      </w:pPr>
    </w:p>
    <w:p>
      <w:pPr>
        <w:pStyle w:val="Heading1"/>
      </w:pPr>
      <w:r>
        <w:rPr>
          <w:b w:val="0"/>
        </w:rPr>
        <w:t>Matriz 02 TransaccionDePago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Iniciada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 registro financiero nace en Iniciada.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Iniciada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iniciarPago()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registrarSolicitud()</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En_​Analisis_​Antifraude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Toda transacción pasa por antifraude antes de tocar la pasarela.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En_​Analisis_​Antifraude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recibirScoring()</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[scoringValido]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guardarScoring()</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Solo un scoring válido se evalúa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[riesgo &lt; umbralRiesgo]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incrementarIntentosTotales()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Riesgo bajo → pasarela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[riesgo &gt;= umbralRiesgo]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registrarRechazoRiesgo()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Rechazada_​Por_​Riesgo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Riesgo alto → rechazo inmediato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recibirRespuesta()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[firmaValida &amp;&amp;​ correlacionValida]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guardarResultado()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Solo respuestas firmadas y correlacionadas con la solicitud se aceptan.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[resultado == 'APPROVED']</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registrarAutorizacion()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Autorización bancaria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[resultado == 'REQUIRES_​3DS']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registrarDesafio()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En_​Desafio_​3D_​Secure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El emisor exige autenticación reforzada.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[resultado == 'INSUFFICIENT_​FUNDS']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registrarRechazoConfirmado()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Rechazada_​Por_​Fondos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Tarjeta declinada por fondos.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[resultado == 'ISSUER_​ERROR']</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registrarErrorConfirmado()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Error_​Emisor</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 del banco emisor.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[else]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registrarResultadoIncierto()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Resultado desconocido → conciliar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after(timeoutPasarela)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registrarIncertidumbre()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Parámetro operativo configurable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En_​Desafio_​3D_​Secure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recibirResultado3DS()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[firmaValida &amp;&amp;​ resultado3DS == 'APPROVED']</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registrarAutorizacion()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Desafío 3DS superado.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En_​Desafio_​3D_​Secure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recibirResultado3DS()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[firmaValida &amp;&amp;​ resultado3DS == 'DECLINED']</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registrarRechazoConfirmado()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Error_​Emisor</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Desafío 3DS fallido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En_​Desafio_​3D_​Secure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after(timeout3DS)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consultarExpiracion3DS()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 usuario no completa el SMS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Rechazada_​Por_​Fondos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reintentarPago()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[intentosTotales &lt; 3 &amp;&amp;​ resultadoPrevioConfirmado]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incrementarIntentosTotales()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Reintento manual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Rechazada_​Por_​Fondos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[intentosTotales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registrarLimiteAgotado()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Límite agotado → falla definitiva sin exigir un cuarto clic.</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Rechazada_​Por_​Fondos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after(timeoutReintento)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[intentosTotales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cerrarPorAbandono()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El cliente no reintenta → cierre por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Error_​Emisor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reintentarPago()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[intentosTotales &lt; 3 &amp;&amp;​ resultadoPrevioConfirmado]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incrementarIntentosTotales()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Esperando_​Respuesta_​Pasarela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Reintento manual tras error del emisor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[intentosTotales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registrarLimiteAgotado()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Límite agotado → falla definitiva.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Error_​Emisor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after(timeoutReintento)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[intentosTotales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cerrarPorAbandono()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Sin reintento → cierre por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confirmarResultadoConciliado()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[firmaValida &amp;&amp;​ correlacionValida]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guardarResultado()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La conciliación reinyecta el resultado verificado en la misma decisión.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after(timeoutConciliacion)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escalarSinNuevoCargo()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En_​Revision_​Manual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Conciliación sin respuesta → revisión humana, sin nuevo cargo.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En_​Revision_​Manual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resolverRevision()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[resultadoBancarioVerificado]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guardarResultado()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El resultado verificado por un analista vuelve a la decisión.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consolidarLoteNocturno()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solicitarLiquidacion()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En_​Liquidacion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 lote bancario nocturno inicia la liquidación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Autorizada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confirmarAnulacion()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registrarAnulacion()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Anulada_​Confirmada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Anulación solo con confirmación bancaria.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confirmarDeposito()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registrarDeposito()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Liquidada_​Depositada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Depósito confirmado por el banco.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after(timeoutLiquidacion)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consultarLiquidacion()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En_​Conciliacion_​Liquidacion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Liquidación sin confirmación → conciliación.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confirmarDeposito()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registrarDeposito()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Liquidada_​Depositada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La conciliación confirma el depósito.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confirmarAnulacion()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registrarAnulacion()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Anulada_​Confirmada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La conciliación confirma la anulación.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En_​Revision_​Manual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En_​Revision_​Manual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Liquidada_​Depositada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 natural: fondos depositados.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Rechazada_​Por_​Riesgo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 rechazo por riesgo.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Fallida_​Definitiva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 intentos agotados o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Anulada_​Confirmada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 anulación confirmada.</w:t>
            </w:r>
          </w:p>
        </w:tc>
      </w:tr>
    </w:tbl>
    <w:p>
      <w:r>
        <w:rPr>
          <w:b w:val="0"/>
          <w:sz w:val="17"/>
        </w:rPr>
        <w:t>Fuente semántica: LogiFlow360_StateModels.mdj. Filas 02-T01 a 02-T35. La versión CSV y Markdown conserva además el tipo y la justificación completa.</w:t>
      </w:r>
    </w:p>
    <w:p>
      <w:pPr>
        <w:sectPr>
          <w:footerReference w:type="default" r:id="rId16"/>
          <w:pgSz w:w="16838" w:h="23810"/>
          <w:pgMar w:top="792" w:right="864" w:bottom="792" w:left="864" w:header="288" w:footer="360" w:gutter="0"/>
          <w:cols w:space="720"/>
          <w:docGrid w:linePitch="360"/>
        </w:sectPr>
      </w:pPr>
    </w:p>
    <w:p>
      <w:pPr>
        <w:pStyle w:val="Heading1"/>
      </w:pPr>
      <w:r>
        <w:rPr>
          <w:b w:val="0"/>
        </w:rPr>
        <w:t>Ficha 03 PaqueteFisico</w:t>
      </w:r>
    </w:p>
    <w:p>
      <w:r>
        <w:rPr>
          <w:b w:val="0"/>
          <w:sz w:val="22"/>
        </w:rPr>
        <w:t>Bulto identificado con código de barras o QR durante su cadena de custodia.  Estados 15  |  Transiciones 23</w:t>
      </w:r>
    </w:p>
    <w:p>
      <w:pPr>
        <w:spacing w:after="60"/>
        <w:jc w:val="center"/>
      </w:pPr>
      <w:r>
        <w:drawing>
          <wp:inline xmlns:a="http://schemas.openxmlformats.org/drawingml/2006/main" xmlns:pic="http://schemas.openxmlformats.org/drawingml/2006/picture">
            <wp:extent cx="9326880" cy="10069696"/>
            <wp:docPr id="3" name="Picture 3" descr="SMD PaqueteFisico"/>
            <wp:cNvGraphicFramePr>
              <a:graphicFrameLocks noChangeAspect="1"/>
            </wp:cNvGraphicFramePr>
            <a:graphic>
              <a:graphicData uri="http://schemas.openxmlformats.org/drawingml/2006/picture">
                <pic:pic>
                  <pic:nvPicPr>
                    <pic:cNvPr id="0" name="SMD_PaqueteFisico.png"/>
                    <pic:cNvPicPr/>
                  </pic:nvPicPr>
                  <pic:blipFill>
                    <a:blip r:embed="rId18"/>
                    <a:stretch>
                      <a:fillRect/>
                    </a:stretch>
                  </pic:blipFill>
                  <pic:spPr>
                    <a:xfrm>
                      <a:off x="0" y="0"/>
                      <a:ext cx="9326880" cy="10069696"/>
                    </a:xfrm>
                    <a:prstGeom prst="rect"/>
                  </pic:spPr>
                </pic:pic>
              </a:graphicData>
            </a:graphic>
          </wp:inline>
        </w:drawing>
      </w:r>
    </w:p>
    <w:p>
      <w:pPr>
        <w:pStyle w:val="Caption"/>
      </w:pPr>
      <w:r>
        <w:rPr>
          <w:b w:val="0"/>
        </w:rPr>
        <w:t>Figura 3. SMD_PaqueteFisico. Exportación nativa de StarUML 7.1.1 sobre fondo blanco. El PNG completo se incluye en diagramas/.</w:t>
      </w:r>
    </w:p>
    <w:p>
      <w:pPr>
        <w:pStyle w:val="Heading2"/>
      </w:pPr>
      <w:r>
        <w:rPr>
          <w:b w:val="0"/>
        </w:rPr>
        <w:t>Casos de borde y resiliencia</w:t>
      </w:r>
    </w:p>
    <w:p>
      <w:r>
        <w:rPr>
          <w:b w:val="0"/>
          <w:sz w:val="22"/>
        </w:rPr>
        <w:t>Desde el hub de origen se rechaza confirmarEntrega. Cada ausencia incrementa el contador antes de evaluar las dos salidas automáticas; la tercera ordena el retorno. Un hallazgo lleva a Recuperado_Pendiente_Recepcion. Solo un escaneo físico verificado decide el reingreso a origen o destino. La pérdida confirmada cierra logística y deja una obligación de compensación, cuyo pago se confirma por separado.</w:t>
      </w:r>
    </w:p>
    <w:p>
      <w:pPr>
        <w:sectPr>
          <w:footerReference w:type="default" r:id="rId17"/>
          <w:pgSz w:w="16838" w:h="23810"/>
          <w:pgMar w:top="792" w:right="864" w:bottom="792" w:left="864" w:header="288" w:footer="360" w:gutter="0"/>
          <w:cols w:space="720"/>
          <w:docGrid w:linePitch="360"/>
        </w:sectPr>
      </w:pPr>
    </w:p>
    <w:p>
      <w:pPr>
        <w:pStyle w:val="Heading1"/>
      </w:pPr>
      <w:r>
        <w:rPr>
          <w:b w:val="0"/>
        </w:rPr>
        <w:t>Matriz 03 PaqueteFisico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Manifiesto_​Creado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paquete nace como manifiesto.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Recibido_​En_​Hub_​Origen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iniciarClasificacion()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registrarClasificacion()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En_​Clasificacion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Clasificación en el hub de origen por actor autorizado.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En_​Clasificacion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confirmarSalidaHub()</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registrarTransferencia()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En_​Transito_​Inter_​Hub</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Salida en camión nodriza con transferencia de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En_​Transito_​Inter_​Hub</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escanearLlegadaDestino()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registrarCustodiaDestino()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En_​Hub_​Destino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Escaneo de llegada transfiere la custodia al hub destino.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En_​Hub_​Destino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asignarRuta()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registrarRuta()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Asignado_​A_​Ruta_​Ultima_​Milla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Asignación a ruta de última milla.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Asignado_​A_​Ruta_​Ultima_​Milla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confirmarSalidaRuta()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registrarSalida()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En_​Camino_​A_​Entrega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Sale a reparto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En_​Camino_​A_​Entrega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reportarAusencia()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[intentosEntrega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incrementarIntentosEntrega()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Entrega_​Fallida_​Ausente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Destinatario ausente: el contador se incrementa antes de decidir.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Entrega_​Fallida_​Ausente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[intentosEntrega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programarNuevaVisita()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Asignado_​A_​Ruta_​Ultima_​Milla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Intentos 1 y 2 → nueva visita.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Manifiesto_​Creado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escanearRecepcion()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[etiquetaValida]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registrarCustodiaOrigen()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Recibido_​En_​Hub_​Origen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Primer escaneo con etiqueta válida inicia la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En_​Camino_​A_​Entrega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confirmarEntrega()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 &amp;&amp;​ evidenciaValida]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guardarPruebaEntrega()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Entregado_​Exitosamente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Único camino a entregado: desde En_Camino, con actor autorizado y evidencia.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Entrega_​Fallida_​Ausente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[intentosEntrega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ordenarRetorno()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Retornado_​A_​Centro_​Distribucion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Tercer intento fallido → retorno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Bajo_​Custodia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reportarSiniestro()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[reporteVerificado]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abrirInvestigacion()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Siniestrado_​En_​Investigacion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Daño verificado desde cualquier etapa de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Bajo_​Custodia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reportarExtravio()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[reporteVerificado]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iniciarBusqueda()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Extraviado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Extravío verificado desde cualquier etapa de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Siniestrado_​En_​Investigacion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cerrarInvestigacion()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[supervisorAutorizado &amp;&amp;​ recuperable]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registrarRecuperacion()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Recuperado_​Pendiente_​Recepcion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hallazgo identifica el paquete; falta confirmar su recepción física.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Siniestrado_​En_​Investigacion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cerrarInvestigacion()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[supervisorAutorizado &amp;&amp;​ !recuperable]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registrarPerdidaYObligacionCompensacion()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No recuperable → pérdida con compensación.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Extraviado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confirmarHallazgo()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[supervisorAutorizado &amp;&amp;​ identidadConfirmada]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registrarHallazgo()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Recuperado_​Pendiente_​Recepcion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hallazgo identifica el paquete; falta confirmar su recepción física.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Extraviado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confirmarPerdida()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[supervisorAutorizado &amp;&amp;​ investigacionConcluida]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registrarPerdidaYObligacionCompensacion()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Investigación concluida sin hallazgo → pérdida.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Recuperado_​Pendiente_​Recepcion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confirmarRecepcionRecuperado()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[supervisorAutorizado &amp;&amp;​ identidadConfirmada &amp;&amp;​ recepcionFisicaConfirmada &amp;&amp;​ (hubRecepcion == 'ORIGEN' || hubRecepcion == 'DESTINO')]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registrarRecepcionFisica()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Solo un escaneo físico verificado permite clasificar el hub de reingreso.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[hubRecepcion == 'ORIGEN']</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registrarCustodiaOrigen()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Recibido_​En_​Hub_​Origen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Reanuda custodia en el hub físico confirmado por el escaneo.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[hubRecepcion == 'DESTINO']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registrarCustodiaDestino()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En_​Hub_​Destino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Reanuda custodia en el hub físico confirmado por el escaneo.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Entregado_​Exitosamente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legítimo: entrega cumplida.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Perdida_​Confirmada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pérdida confirmada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Retornado_​A_​Centro_​Distribucion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confirmarRetorno()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[recepcionHubConfirmada]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cerrarCicloDeReparto()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recepción del retorno en el hub cierra el ciclo de reparto.</w:t>
            </w:r>
          </w:p>
        </w:tc>
      </w:tr>
    </w:tbl>
    <w:p>
      <w:r>
        <w:rPr>
          <w:b w:val="0"/>
          <w:sz w:val="17"/>
        </w:rPr>
        <w:t>Fuente semántica: LogiFlow360_StateModels.mdj. Filas 03-T01 a 03-T23. La versión CSV y Markdown conserva además el tipo y la justificación completa.</w:t>
      </w:r>
    </w:p>
    <w:p>
      <w:pPr>
        <w:sectPr>
          <w:footerReference w:type="default" r:id="rId19"/>
          <w:pgSz w:w="16838" w:h="23810"/>
          <w:pgMar w:top="792" w:right="864" w:bottom="792" w:left="864" w:header="288" w:footer="360" w:gutter="0"/>
          <w:cols w:space="720"/>
          <w:docGrid w:linePitch="360"/>
        </w:sectPr>
      </w:pPr>
    </w:p>
    <w:p>
      <w:pPr>
        <w:pStyle w:val="Heading1"/>
      </w:pPr>
      <w:r>
        <w:rPr>
          <w:b w:val="0"/>
        </w:rPr>
        <w:t>Ficha 04 VehiculoDeReparto</w:t>
      </w:r>
    </w:p>
    <w:p>
      <w:r>
        <w:rPr>
          <w:b w:val="0"/>
          <w:sz w:val="22"/>
        </w:rPr>
        <w:t>Unidad de flota durante disponibilidad, reparto y mantenimiento.  Estados 8  |  Transiciones 18</w:t>
      </w:r>
    </w:p>
    <w:p>
      <w:pPr>
        <w:spacing w:after="60"/>
        <w:jc w:val="center"/>
      </w:pPr>
      <w:r>
        <w:drawing>
          <wp:inline xmlns:a="http://schemas.openxmlformats.org/drawingml/2006/main" xmlns:pic="http://schemas.openxmlformats.org/drawingml/2006/picture">
            <wp:extent cx="9344742" cy="6995160"/>
            <wp:docPr id="4" name="Picture 4" descr="SMD VehiculoDeReparto"/>
            <wp:cNvGraphicFramePr>
              <a:graphicFrameLocks noChangeAspect="1"/>
            </wp:cNvGraphicFramePr>
            <a:graphic>
              <a:graphicData uri="http://schemas.openxmlformats.org/drawingml/2006/picture">
                <pic:pic>
                  <pic:nvPicPr>
                    <pic:cNvPr id="0" name="SMD_VehiculoDeReparto.png"/>
                    <pic:cNvPicPr/>
                  </pic:nvPicPr>
                  <pic:blipFill>
                    <a:blip r:embed="rId21"/>
                    <a:stretch>
                      <a:fillRect/>
                    </a:stretch>
                  </pic:blipFill>
                  <pic:spPr>
                    <a:xfrm>
                      <a:off x="0" y="0"/>
                      <a:ext cx="9344742" cy="6995160"/>
                    </a:xfrm>
                    <a:prstGeom prst="rect"/>
                  </pic:spPr>
                </pic:pic>
              </a:graphicData>
            </a:graphic>
          </wp:inline>
        </w:drawing>
      </w:r>
    </w:p>
    <w:p>
      <w:pPr>
        <w:pStyle w:val="Caption"/>
      </w:pPr>
      <w:r>
        <w:rPr>
          <w:b w:val="0"/>
        </w:rPr>
        <w:t>Figura 4. SMD_VehiculoDeReparto. Exportación nativa de StarUML 7.1.1 sobre fondo blanco. El PNG completo se incluye en diagramas/.</w:t>
      </w:r>
    </w:p>
    <w:p>
      <w:pPr>
        <w:pStyle w:val="Heading2"/>
      </w:pPr>
      <w:r>
        <w:rPr>
          <w:b w:val="0"/>
        </w:rPr>
        <w:t>Casos de borde y resiliencia</w:t>
      </w:r>
    </w:p>
    <w:p>
      <w:r>
        <w:rPr>
          <w:b w:val="0"/>
          <w:sz w:val="22"/>
        </w:rPr>
        <w:t>El mantenimiento vencido impide asignar ruta y salir del almacén. Una avería crítica en ruta detiene el reparto y solicita transbordo y remolque. El aviso de service durante una ruta es una transición interna: marca la obligación de mantenimiento sin reiniciar la telemetría. Terminar una jornada no extingue el vehículo; por eso la máquina es cíclica.</w:t>
      </w:r>
    </w:p>
    <w:p>
      <w:pPr>
        <w:sectPr>
          <w:footerReference w:type="default" r:id="rId20"/>
          <w:pgSz w:w="23810" w:h="16838"/>
          <w:pgMar w:top="792" w:right="864" w:bottom="792" w:left="864" w:header="288" w:footer="360" w:gutter="0"/>
          <w:cols w:space="720"/>
          <w:docGrid w:linePitch="360"/>
        </w:sectPr>
      </w:pPr>
    </w:p>
    <w:p>
      <w:pPr>
        <w:pStyle w:val="Heading1"/>
      </w:pPr>
      <w:r>
        <w:rPr>
          <w:b w:val="0"/>
        </w:rPr>
        <w:t>Matriz 04 VehiculoDeReparto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Estacionado_​Fuera_​De_​Servicio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unidad pasa la noche estacionada.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Estacionado_​Fuera_​De_​Servicio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iniciarJornada()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guardarInspeccionYKilometraje()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Inspección matutina y kilometraje se evalúan en una sola decisión.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[inspeccionAprobada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habilitarDisponibilidad()</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Disponible_​En_​Base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Inspección aprobada y sin service pendiente.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Falta de mantenimiento preventivo bloquea la disponibilidad.</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[!inspeccionAprobada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registrarInspeccionRechazada()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En_​Taller_​Mantenimiento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Inspección rechazada → taller.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Disponible_​En_​Base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asignarRuta()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[conductorHabilitado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registrarAsignacion()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En_​Carga_​Mercancia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Asignación solo con conductor habilitado y sin service pendiente.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En_​Carga_​Mercancia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confirmarSalida()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[cargaSegura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registrarSalida()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En_​Ruta_​Operativa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Salida a la calle con carga asegurada.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En_​Ruta_​Operativa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finalizarEntregas()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registrarRegreso()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Fin_​De_​Jornada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Regreso al terminar las entregas.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Fin_​De_​Jornada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cerrarJornada()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registrarEstacionamiento()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Estacionado_​Fuera_​De_​Servicio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Cierre normal de jornada.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Fin_​De_​Jornada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cerrarJornada()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bloquearNuevaJornada()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Service pendiente impide una nueva jornada.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En_​Ruta_​Operativa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fallaMecanicaCritica()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registrarAveria()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Varado_​En_​Averia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Avería crítica en ruta → varado y alerta de transbordo.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Varado_​En_​Averia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confirmarRemolque()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[unidadRecibidaEnTaller]</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registrarIngresoTaller()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En_​Taller_​Mantenimiento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Remolque confirmado → taller.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Requiere_​Service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iniciarMantenimiento()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[tallerAutorizado]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registrarOrdenServicio()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En_​Taller_​Mantenimiento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Inicio del mantenimiento autorizado.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En_​Taller_​Mantenimiento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finalizarMantenimiento()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[pruebaTecnicaAprobada]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actualizarKilometrajeServicio()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Estacionado_​Fuera_​De_​Servicio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Prueba técnica aprobada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Estacionado_​Fuera_​De_​Servicio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Telemetría detecta service vencido en base.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Disponible_​En_​Base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Telemetría detecta service vencido antes de asignar ruta.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En_​Carga_​Mercancia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Telemetría detecta service vencido durante la carga.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En_​Ruta_​Operativa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[!fallaCritica]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marcarServicioParaRegreso()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En_​Ruta_​Operativa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No detiene bruscamente la ruta por mantenimiento preventivo</w:t>
            </w:r>
          </w:p>
        </w:tc>
      </w:tr>
    </w:tbl>
    <w:p>
      <w:r>
        <w:rPr>
          <w:b w:val="0"/>
          <w:sz w:val="17"/>
        </w:rPr>
        <w:t>Fuente semántica: LogiFlow360_StateModels.mdj. Filas 04-T01 a 04-T18. La versión CSV y Markdown conserva además el tipo y la justificación completa.</w:t>
      </w:r>
    </w:p>
    <w:p>
      <w:pPr>
        <w:sectPr>
          <w:footerReference w:type="default" r:id="rId22"/>
          <w:pgSz w:w="16838" w:h="23810"/>
          <w:pgMar w:top="792" w:right="864" w:bottom="792" w:left="864" w:header="288" w:footer="360" w:gutter="0"/>
          <w:cols w:space="720"/>
          <w:docGrid w:linePitch="360"/>
        </w:sectPr>
      </w:pPr>
    </w:p>
    <w:p>
      <w:pPr>
        <w:pStyle w:val="Heading1"/>
      </w:pPr>
      <w:r>
        <w:rPr>
          <w:b w:val="0"/>
        </w:rPr>
        <w:t>Ficha 05 CasilleroInteligente</w:t>
      </w:r>
    </w:p>
    <w:p>
      <w:r>
        <w:rPr>
          <w:b w:val="0"/>
          <w:sz w:val="22"/>
        </w:rPr>
        <w:t>Compartimento electromecánico individual con sensores y acceso temporal.  Estados 14  |  Transiciones 39</w:t>
      </w:r>
    </w:p>
    <w:p>
      <w:pPr>
        <w:spacing w:after="60"/>
        <w:jc w:val="center"/>
      </w:pPr>
      <w:r>
        <w:drawing>
          <wp:inline xmlns:a="http://schemas.openxmlformats.org/drawingml/2006/main" xmlns:pic="http://schemas.openxmlformats.org/drawingml/2006/picture">
            <wp:extent cx="9952876" cy="6995160"/>
            <wp:docPr id="5" name="Picture 5" descr="SMD CasilleroInteligente"/>
            <wp:cNvGraphicFramePr>
              <a:graphicFrameLocks noChangeAspect="1"/>
            </wp:cNvGraphicFramePr>
            <a:graphic>
              <a:graphicData uri="http://schemas.openxmlformats.org/drawingml/2006/picture">
                <pic:pic>
                  <pic:nvPicPr>
                    <pic:cNvPr id="0" name="SMD_CasilleroInteligente.png"/>
                    <pic:cNvPicPr/>
                  </pic:nvPicPr>
                  <pic:blipFill>
                    <a:blip r:embed="rId24"/>
                    <a:stretch>
                      <a:fillRect/>
                    </a:stretch>
                  </pic:blipFill>
                  <pic:spPr>
                    <a:xfrm>
                      <a:off x="0" y="0"/>
                      <a:ext cx="9952876" cy="6995160"/>
                    </a:xfrm>
                    <a:prstGeom prst="rect"/>
                  </pic:spPr>
                </pic:pic>
              </a:graphicData>
            </a:graphic>
          </wp:inline>
        </w:drawing>
      </w:r>
    </w:p>
    <w:p>
      <w:pPr>
        <w:pStyle w:val="Caption"/>
      </w:pPr>
      <w:r>
        <w:rPr>
          <w:b w:val="0"/>
        </w:rPr>
        <w:t>Figura 5. SMD_CasilleroInteligente. Exportación nativa de StarUML 7.1.1 sobre fondo blanco. El PNG completo se incluye en diagramas/.</w:t>
      </w:r>
    </w:p>
    <w:p>
      <w:pPr>
        <w:pStyle w:val="Heading2"/>
      </w:pPr>
      <w:r>
        <w:rPr>
          <w:b w:val="0"/>
        </w:rPr>
        <w:t>Casos de borde y resiliencia</w:t>
      </w:r>
    </w:p>
    <w:p>
      <w:r>
        <w:rPr>
          <w:b w:val="0"/>
          <w:sz w:val="22"/>
        </w:rPr>
        <w:t>El comando de apertura no acredita que la puerta abrió. El depósito exige lectura confiable, puerta cerrada, traba y peso positivo. En carga, retiro y recolección, confirmarCierre sin traba conduce a mantenimiento; after(timeoutCierre) cubre la falta de cierre seguro. Se conserva la custodia. Tras 72 horas se invalida el código. Un reinicio conduce a recuperación y conciliación entre persistencia y sensores.</w:t>
      </w:r>
    </w:p>
    <w:p>
      <w:pPr>
        <w:sectPr>
          <w:footerReference w:type="default" r:id="rId23"/>
          <w:pgSz w:w="23810" w:h="16838"/>
          <w:pgMar w:top="792" w:right="864" w:bottom="792" w:left="864" w:header="288" w:footer="360" w:gutter="0"/>
          <w:cols w:space="720"/>
          <w:docGrid w:linePitch="360"/>
        </w:sectPr>
      </w:pPr>
    </w:p>
    <w:p>
      <w:pPr>
        <w:pStyle w:val="Heading1"/>
      </w:pPr>
      <w:r>
        <w:rPr>
          <w:b w:val="0"/>
        </w:rPr>
        <w:t>Matriz 05 CasilleroInteligente</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 compartimento arranca vacío y disponible.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Vacio_​Disponible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reservarCasillero()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[reservaValida &amp;&amp;​ hardwareSano]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persistirReservaYFechaLimite()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Reservado_​Para_​Entrega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 solo con hardware sano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Reservado_​Para_​Entrega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at(fechaLimiteReserva)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liberarReservaVencida()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Si el repartidor no llega, la reserva se libera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Reservado_​Para_​Entrega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escanearOrden()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[repartidorAutorizado &amp;&amp;​ reservaCoincidente]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persistirOperacionCarga()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Apertura_​Pendiente_​Carga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Repartidor autorizado y reserva coincidente solicitan apertura.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validarCodigoRetiro()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[codigoValido &amp;&amp;​ ahora &lt;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persistirOperacionRetiro()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Apertura_​Pendiente_​Retiro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Código válido y vigente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autorizarRecoleccion()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[recolectorAutorizado]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persistirOperacionRecoleccion()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Solo personal autorizado recolecta un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Apertura_​Pendiente_​Carga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[sensorPuertaAbierta]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Puerta_​Abierta_​Cargando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 sensor confirma la apertura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Apertura_​Pendiente_​Retiro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[sensorPuertaAbierta]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registrarAperturaConfirmada()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El sensor confirma la apertura para el retiro.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Apertura_​Pendiente_​Recoleccion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[sensorPuertaAbierta]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Puerta_​Abierta_​Recolectando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 sensor confirma la apertura para la recolección.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&gt;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confirmarDepositoYFechaLimite()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Ocupado_​Esperando_​Retiro_​Cliente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Custodia segura: cerrada, trabada y con peso → se notifica al cliente.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 &amp;&amp;​ puertaCerrada &amp;&amp;​ cerraduraTrabada &amp;&amp;​ peso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registrarCargaNoRealizada()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Reservado_​Para_​Entrega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Cierre sin paquete: la entrega sigue pendiente.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cerrarRetiroYLiberarCasillero()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Retiro completo, peso cero → compartimento libre.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 &amp;&amp;​ puertaCerrada &amp;&amp;​ cerraduraTrabada &amp;&amp;​ peso &gt; 0 &amp;&amp;​ ahora &lt;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regenerarCodigoConPlazoOriginal()</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Cerró sin retirar dentro del plazo: conserva ocupación y plazo original.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&gt; 0 &amp;&amp;​ ahora &gt;=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solicitarRecoleccion()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Cerró sin retirar con el plazo vencido →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 &amp;&amp;​ puertaCerrada &amp;&amp;​ cerraduraTrabada &amp;&amp;​ peso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confirmarTransferenciaARecolector()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Recolección completa → compartimento libre.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&gt;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registrarRecoleccionIncompleta()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Recolección incompleta → sigue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after(72 h)</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[ahora &gt;=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invalidarCodigoYSolicitarRecoleccion()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Sin retiro en 72 h →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Ocupado_​Esperando_​Retiro_​Cliente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at(fechaLimiteRetiro)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invalidarCodigoYSolicitarRecoleccion()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El vencimiento absoluto conservado evita reiniciar las 72 h al recuperar energía o cerrar una puerta sin retirar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Apertura_​Pendiente_​Carga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registrarAperturaNoConfirmada()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puerta no confirmó la apertura → falla de hardware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Apertura_​Pendiente_​Retiro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after(timeoutApertura)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registrarAperturaNoConfirmada()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La puerta no confirmó la apertura para el retiro.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Apertura_​Pendiente_​Recoleccion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registrarAperturaNoConfirmada()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puerta no confirmó la apertura para la recolección.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En_​Operacion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detectarAperturaForzada()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[!comandoAutorizado]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registrarViolacion()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Alarma_​Violacion_​Seguridad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 sin comando digital → alarma, desde cualquier subestado operativo.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En_​Operacion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detectarFalloCerradura()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cerradura no traba → fuera de servicio, desde cualquier subestado.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En_​Operacion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reiniciarControlador()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recuperarOperacionPendiente()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En_​Recuperacion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Se procesa al retornar la energía. No se supone que el dispositivo ejecute acciones mientras está apagado.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Alarma_​Violacion_​Seguridad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autorizarRevision()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[seguridadAutoriza]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registrarRevisionAutorizada()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En_​Recuperacion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alarma solo se libera con autorización de seguridad y pasa por recuperación.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confirmarReparacion()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[tecnicoAutorizado &amp;&amp;​ pruebaHardwareAprobada]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registrarReparacion()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En_​Recuperacion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Reparación probada → recuperación antes de volver a operar.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En_​Recuperacion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recibirLecturaSensores()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clasificarRecuperacion()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 clasifica el estado físico real contra lo persistido.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[recuperacion == 'CARGA_​ABIERTA']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Puerta_​Abierta_​Cargando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Carga abierta identificada → retoma el cierre seguro.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[recuperacion == 'OCUPADO_​VIGENTE']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Ocupación válida → conserva su fecha límite original.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[recuperacion == 'OCUPADO_​VENCIDO']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Ocupación vencida permanece vencida.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[recuperacion == 'VACIO_​LIBRE']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Vacío sin obligaciones pendientes → disponible.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[recuperacion == 'VACIO_​RESERVADO']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Reservado_​Para_​Entrega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Vacío con reserva vigente → reservado.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[else]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registrarInconsistenciaFisica()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Datos incoherentes → mantenimiento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Cierre sin traba exige mantenimiento; no libera la reserva ni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registrarCierreNoConfirmadoYAlertar()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Ausencia de cierre seguro bloquea el compartimento y conserva su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Cierre sin traba exige mantenimiento; no libera la reserva ni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registrarCierreNoConfirmadoYAlertar()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Ausencia de cierre seguro bloquea el compartimento y conserva su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Cierre sin traba exige mantenimiento; no libera la reserva ni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registrarCierreNoConfirmadoYAlertar()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Ausencia de cierre seguro bloquea el compartimento y conserva su custodia.</w:t>
            </w:r>
          </w:p>
        </w:tc>
      </w:tr>
    </w:tbl>
    <w:p>
      <w:r>
        <w:rPr>
          <w:b w:val="0"/>
          <w:sz w:val="17"/>
        </w:rPr>
        <w:t>Fuente semántica: LogiFlow360_StateModels.mdj. Filas 05-T01 a 05-T39. La versión CSV y Markdown conserva además el tipo y la justificación completa.</w:t>
      </w:r>
    </w:p>
    <w:p>
      <w:pPr>
        <w:sectPr>
          <w:footerReference w:type="default" r:id="rId25"/>
          <w:pgSz w:w="16838" w:h="23810"/>
          <w:pgMar w:top="792" w:right="864" w:bottom="792" w:left="864" w:header="288" w:footer="360" w:gutter="0"/>
          <w:cols w:space="720"/>
          <w:docGrid w:linePitch="360"/>
        </w:sectPr>
      </w:pPr>
    </w:p>
    <w:p>
      <w:pPr>
        <w:pStyle w:val="Heading1"/>
      </w:pPr>
      <w:r>
        <w:rPr>
          <w:b w:val="0"/>
        </w:rPr>
        <w:t>Ficha 06 TicketDeSoporte</w:t>
      </w:r>
    </w:p>
    <w:p>
      <w:r>
        <w:rPr>
          <w:b w:val="0"/>
          <w:sz w:val="22"/>
        </w:rPr>
        <w:t>Incidencia de atención con escalamiento y plazos de respuesta.  Estados 9  |  Transiciones 17</w:t>
      </w:r>
    </w:p>
    <w:p>
      <w:pPr>
        <w:spacing w:after="60"/>
        <w:jc w:val="center"/>
      </w:pPr>
      <w:r>
        <w:drawing>
          <wp:inline xmlns:a="http://schemas.openxmlformats.org/drawingml/2006/main" xmlns:pic="http://schemas.openxmlformats.org/drawingml/2006/picture">
            <wp:extent cx="8325003" cy="11109960"/>
            <wp:docPr id="6" name="Picture 6" descr="SMD TicketDeSoporte"/>
            <wp:cNvGraphicFramePr>
              <a:graphicFrameLocks noChangeAspect="1"/>
            </wp:cNvGraphicFramePr>
            <a:graphic>
              <a:graphicData uri="http://schemas.openxmlformats.org/drawingml/2006/picture">
                <pic:pic>
                  <pic:nvPicPr>
                    <pic:cNvPr id="0" name="SMD_TicketDeSoporte.png"/>
                    <pic:cNvPicPr/>
                  </pic:nvPicPr>
                  <pic:blipFill>
                    <a:blip r:embed="rId27"/>
                    <a:stretch>
                      <a:fillRect/>
                    </a:stretch>
                  </pic:blipFill>
                  <pic:spPr>
                    <a:xfrm>
                      <a:off x="0" y="0"/>
                      <a:ext cx="8325003" cy="11109960"/>
                    </a:xfrm>
                    <a:prstGeom prst="rect"/>
                  </pic:spPr>
                </pic:pic>
              </a:graphicData>
            </a:graphic>
          </wp:inline>
        </w:drawing>
      </w:r>
    </w:p>
    <w:p>
      <w:pPr>
        <w:pStyle w:val="Caption"/>
      </w:pPr>
      <w:r>
        <w:rPr>
          <w:b w:val="0"/>
        </w:rPr>
        <w:t>Figura 6. SMD_TicketDeSoporte. Exportación nativa de StarUML 7.1.1 sobre fondo blanco. El PNG completo se incluye en diagramas/.</w:t>
      </w:r>
    </w:p>
    <w:p>
      <w:pPr>
        <w:pStyle w:val="Heading2"/>
      </w:pPr>
      <w:r>
        <w:rPr>
          <w:b w:val="0"/>
        </w:rPr>
        <w:t>Casos de borde y resiliencia</w:t>
      </w:r>
    </w:p>
    <w:p>
      <w:r>
        <w:rPr>
          <w:b w:val="0"/>
          <w:sz w:val="22"/>
        </w:rPr>
        <w:t>La respuesta del usuario reanuda el análisis. Sin respuesta durante cinco días hábiles se cierra por abandono. Una solución sin objeción durante 48 horas se cierra por inactividad. La objeción reabre el caso y la complejidad técnica permite escalar a nivel 2. Las fechas persistidas evitan reiniciar los plazos al recuperar el servicio.</w:t>
      </w:r>
    </w:p>
    <w:p>
      <w:pPr>
        <w:sectPr>
          <w:footerReference w:type="default" r:id="rId26"/>
          <w:pgSz w:w="16838" w:h="23810"/>
          <w:pgMar w:top="792" w:right="864" w:bottom="792" w:left="864" w:header="288" w:footer="360" w:gutter="0"/>
          <w:cols w:space="720"/>
          <w:docGrid w:linePitch="360"/>
        </w:sectPr>
      </w:pPr>
    </w:p>
    <w:p>
      <w:pPr>
        <w:pStyle w:val="Heading1"/>
      </w:pPr>
      <w:r>
        <w:rPr>
          <w:b w:val="0"/>
        </w:rPr>
        <w:t>Matriz 06 TicketDeSoporte</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Registrado_​En_​Cola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ticket nace en cola.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Registrado_​En_​Cola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tomarTicket()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asignarAgenteN1()</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Asignado_​Nivel_​1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Un agente N1 toma el ticket.</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Asignado_​Nivel_​1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iniciarAnalisis()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registrarInicioAtencion()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En_​Analisis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agente inicia el análisis.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En_​Analisis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solicitarInformacion()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enviarSolicitudUsuario()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En_​Espera_​Respuesta_​Usuario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agente pide información adicional.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En_​Espera_​Respuesta_​Usuario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responderUsuario()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adjuntarRespuesta()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En_​Analisis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usuario responde y el ticket vuelve a análisis.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En_​Analisis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resolverTicket()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notificarSolucion()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Resuelto_​Esperando_​Confirmacion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agente N1 propone solución.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En_​Analisis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escalar()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[complejidad == 'ALTA']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transferirANivel2()</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Escalado_​Nivel_​2_​Ingenieria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Complejidad técnica alta → escalar() a N2.</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Escalado_​Nivel_​2_​Ingenieria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resolverTicket()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notificarSolucion()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Resuelto_​Esperando_​Confirmacion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N2 propone solución.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Resuelto_​Esperando_​Confirmacion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responderConfirmacion()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respuesta del usuario se clasifica en conforme / no conforme.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[!conforme]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registrarObjecion()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Reabierto_​En_​Disputa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Usuario no conforme → reabierto en disputa.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Resuelto_​Esperando_​Confirmacion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after(48h)</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cerrarAutomaticamente()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Cerrado_​Por_​Inactividad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Sin confirmación ni objeción en 48 h → cierre automático.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En_​Espera_​Respuesta_​Usuario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at(fechaLimiteRespuesta)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notificarAbandono()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Cerrado_​Sin_​Solucion_​Abandono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Calcular cinco días hábiles con calendario de negocio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Reabierto_​En_​Disputa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reasignarTicket()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priorizarTicket()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Asignado_​Nivel_​1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ticket reabierto vuelve a N1 con prioridad.</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Resuelto_​Esperando_​Confirmacion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at(fechaLimiteConfirmacion)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cerrarAutomaticamente()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Cerrado_​Por_​Inactividad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Fecha límite absoluta del plazo de 48 h</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[conforme]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cerrarTicket()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Usuario conforme → cierre.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Cerrado_​Sin_​Solucion_​Abandono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por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Cerrado_​Por_​Inactividad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por inactividad.</w:t>
            </w:r>
          </w:p>
        </w:tc>
      </w:tr>
    </w:tbl>
    <w:p>
      <w:r>
        <w:rPr>
          <w:b w:val="0"/>
          <w:sz w:val="17"/>
        </w:rPr>
        <w:t>Fuente semántica: LogiFlow360_StateModels.mdj. Filas 06-T01 a 06-T17. La versión CSV y Markdown conserva además el tipo y la justificación completa.</w:t>
      </w:r>
    </w:p>
    <w:p>
      <w:pPr>
        <w:sectPr>
          <w:footerReference w:type="default" r:id="rId28"/>
          <w:pgSz w:w="16838" w:h="23810"/>
          <w:pgMar w:top="792" w:right="864" w:bottom="792" w:left="864" w:header="288" w:footer="360" w:gutter="0"/>
          <w:cols w:space="720"/>
          <w:docGrid w:linePitch="360"/>
        </w:sectPr>
      </w:pPr>
    </w:p>
    <w:p>
      <w:pPr>
        <w:pStyle w:val="Heading1"/>
      </w:pPr>
      <w:r>
        <w:rPr>
          <w:b w:val="0"/>
        </w:rPr>
        <w:t>Ficha 07 SolicitudDeDevolucion</w:t>
      </w:r>
    </w:p>
    <w:p>
      <w:r>
        <w:rPr>
          <w:b w:val="0"/>
          <w:sz w:val="22"/>
        </w:rPr>
        <w:t>Devolución posentrega con revisión, inspección y confirmación de reembolso.  Estados 10  |  Transiciones 20</w:t>
      </w:r>
    </w:p>
    <w:p>
      <w:pPr>
        <w:spacing w:after="60"/>
        <w:jc w:val="center"/>
      </w:pPr>
      <w:r>
        <w:drawing>
          <wp:inline xmlns:a="http://schemas.openxmlformats.org/drawingml/2006/main" xmlns:pic="http://schemas.openxmlformats.org/drawingml/2006/picture">
            <wp:extent cx="9326880" cy="10291029"/>
            <wp:docPr id="7" name="Picture 7" descr="SMD SolicitudDeDevolucion"/>
            <wp:cNvGraphicFramePr>
              <a:graphicFrameLocks noChangeAspect="1"/>
            </wp:cNvGraphicFramePr>
            <a:graphic>
              <a:graphicData uri="http://schemas.openxmlformats.org/drawingml/2006/picture">
                <pic:pic>
                  <pic:nvPicPr>
                    <pic:cNvPr id="0" name="SMD_SolicitudDeDevolucion.png"/>
                    <pic:cNvPicPr/>
                  </pic:nvPicPr>
                  <pic:blipFill>
                    <a:blip r:embed="rId30"/>
                    <a:stretch>
                      <a:fillRect/>
                    </a:stretch>
                  </pic:blipFill>
                  <pic:spPr>
                    <a:xfrm>
                      <a:off x="0" y="0"/>
                      <a:ext cx="9326880" cy="10291029"/>
                    </a:xfrm>
                    <a:prstGeom prst="rect"/>
                  </pic:spPr>
                </pic:pic>
              </a:graphicData>
            </a:graphic>
          </wp:inline>
        </w:drawing>
      </w:r>
    </w:p>
    <w:p>
      <w:pPr>
        <w:pStyle w:val="Caption"/>
      </w:pPr>
      <w:r>
        <w:rPr>
          <w:b w:val="0"/>
        </w:rPr>
        <w:t>Figura 7. SMD_SolicitudDeDevolucion. Exportación nativa de StarUML 7.1.1 sobre fondo blanco. El PNG completo se incluye en diagramas/.</w:t>
      </w:r>
    </w:p>
    <w:p>
      <w:pPr>
        <w:pStyle w:val="Heading2"/>
      </w:pPr>
      <w:r>
        <w:rPr>
          <w:b w:val="0"/>
        </w:rPr>
        <w:t>Casos de borde y resiliencia</w:t>
      </w:r>
    </w:p>
    <w:p>
      <w:r>
        <w:rPr>
          <w:b w:val="0"/>
          <w:sz w:val="22"/>
        </w:rPr>
        <w:t>La política de 30 días se mide entre entrega y solicitud, evitando penalizar la demora del analista. El fraude físico rechaza el reembolso. Solicitar dinero no equivale a recibir confirmación: un timeout deja la operación en conciliación con la misma clave idempotente. El seguimiento no crea otra devolución. Los 15 días sin despacho son un supuesto adicional y no cancelan un retorno ya enviado.</w:t>
      </w:r>
    </w:p>
    <w:p>
      <w:pPr>
        <w:sectPr>
          <w:footerReference w:type="default" r:id="rId29"/>
          <w:pgSz w:w="16838" w:h="23810"/>
          <w:pgMar w:top="792" w:right="864" w:bottom="792" w:left="864" w:header="288" w:footer="360" w:gutter="0"/>
          <w:cols w:space="720"/>
          <w:docGrid w:linePitch="360"/>
        </w:sectPr>
      </w:pPr>
    </w:p>
    <w:p>
      <w:pPr>
        <w:pStyle w:val="Heading1"/>
      </w:pPr>
      <w:r>
        <w:rPr>
          <w:b w:val="0"/>
        </w:rPr>
        <w:t>Matriz 07 SolicitudDeDevolucion</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Solicitada_​Por_​Cliente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solicitud nace del cliente.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Solicitada_​Por_​Cliente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recibirEvidencias()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validarFotosYRecibo()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En_​Revision_​Elegibilidad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Atención valida fotos y recibo.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En_​Revision_​Elegibilidad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evaluarElegibilidad()</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Evaluación de la política de 30 días.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[diasEntregaASolicitud &lt;= 30]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notificarAprobacion()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Aprobada_​Generando_​Guia_​Retorno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Dentro de 30 días → se genera la guía de retorno.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[diasEntregaASolicitud &gt; 30]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notificarRechazo()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Rechazada_​Fuera_​De_​Politica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Pasados 30 días → rechazo.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Aprobada_​Generando_​Guia_​Retorno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recibirEnBodega()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registrarIngreso()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Recibida_​En_​Inspeccion_​Calidad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paquete llega a bodega para inspección.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Aprobada_​Generando_​Guia_​Retorno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after(15 dias)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[!envioRetornoConfirmado]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cancelarGuiaRetorno()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Cancelada_​Por_​No_​Envio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Plazo adicional de 15 días heredado de Claude, no fijado por el PDF. Solo puede cancelar si el cliente todavía no ha despachado el retorno.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Recibida_​En_​Inspeccion_​Calidad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completarInspeccion()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Resultado de la inspección física.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[estadoProducto == 'ORIGINAL']</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registrarAprobacion()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Aprobada_​Para_​Reembolso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Producto en estado original → aprobado para reembolso.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[estadoProducto != 'ORIGINAL']</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devolverProductoACliente()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Rechazada_​Fraude_​Garantia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Producto manipulado o falso → rechazo, devuelto sin dinero.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Aprobada_​Para_​Reembolso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registrarReembolsoConfirmado()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Liquidada_​Cerrada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Solo la confirmación bancaria cierra: reembolso solicitado ≠ confirmado.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Aprobada_​Para_​Reembolso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after(timeoutReembolso)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registrarResultadoIncierto()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 confirmación del banco → conciliación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Reembolso_​En_​Conciliacion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registrarReembolsoConfirmado()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Liquidada_​Cerrada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conciliación confirma el reembolso.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reintentarReembolso()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[falloDefinitivoSinAcreditacion &amp;&amp;​ soporteAutoriza &amp;&amp;​ reintentosReembolso &lt; maxReintentosReembolso]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incrementarReintentosYConservarClave()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Aprobada_​Para_​Reembolso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Límite configurable de reintentos. Agotado el límite, permanece bloqueado para conciliación/confirmación bancaria, sin crear más solicitudes de devolución.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Aprobada_​Generando_​Guia_​Retorno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confirmarEnvioRetorno()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[guiaValida]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registrarEnvioRetorno()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Aprobada_​Generando_​Guia_​Retorno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Transición interna: registra el despacho del cliente sin reemitir la guía ni reiniciar el plazo de 15 días.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Liquidada_​Cerrada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natural: reembolso confirmado.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Rechazada_​Fuera_​De_​Politica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fuera de política.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Rechazada_​Fraude_​Garantia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fraude de garantía.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Cancelada_​Por_​No_​Envio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el cliente no envió el retorno.</w:t>
            </w:r>
          </w:p>
        </w:tc>
      </w:tr>
    </w:tbl>
    <w:p>
      <w:r>
        <w:rPr>
          <w:b w:val="0"/>
          <w:sz w:val="17"/>
        </w:rPr>
        <w:t>Fuente semántica: LogiFlow360_StateModels.mdj. Filas 07-T01 a 07-T20. La versión CSV y Markdown conserva además el tipo y la justificación completa.</w:t>
      </w:r>
    </w:p>
    <w:p>
      <w:pPr>
        <w:sectPr>
          <w:footerReference w:type="default" r:id="rId31"/>
          <w:pgSz w:w="16838" w:h="23810"/>
          <w:pgMar w:top="792" w:right="864" w:bottom="792" w:left="864" w:header="288" w:footer="360" w:gutter="0"/>
          <w:cols w:space="720"/>
          <w:docGrid w:linePitch="360"/>
        </w:sectPr>
      </w:pPr>
    </w:p>
    <w:p>
      <w:pPr>
        <w:pStyle w:val="Heading1"/>
      </w:pPr>
      <w:r>
        <w:rPr>
          <w:b w:val="0"/>
        </w:rPr>
        <w:t>Ficha 08 LoteDeInventario</w:t>
      </w:r>
    </w:p>
    <w:p>
      <w:r>
        <w:rPr>
          <w:b w:val="0"/>
          <w:sz w:val="22"/>
        </w:rPr>
        <w:t>Agrupación física de mercancía con control de calidad y existencias.  Estados 8  |  Transiciones 15</w:t>
      </w:r>
    </w:p>
    <w:p>
      <w:pPr>
        <w:spacing w:after="60"/>
        <w:jc w:val="center"/>
      </w:pPr>
      <w:r>
        <w:drawing>
          <wp:inline xmlns:a="http://schemas.openxmlformats.org/drawingml/2006/main" xmlns:pic="http://schemas.openxmlformats.org/drawingml/2006/picture">
            <wp:extent cx="12011230" cy="6995160"/>
            <wp:docPr id="8" name="Picture 8" descr="SMD LoteDeInventario"/>
            <wp:cNvGraphicFramePr>
              <a:graphicFrameLocks noChangeAspect="1"/>
            </wp:cNvGraphicFramePr>
            <a:graphic>
              <a:graphicData uri="http://schemas.openxmlformats.org/drawingml/2006/picture">
                <pic:pic>
                  <pic:nvPicPr>
                    <pic:cNvPr id="0" name="SMD_LoteDeInventario.png"/>
                    <pic:cNvPicPr/>
                  </pic:nvPicPr>
                  <pic:blipFill>
                    <a:blip r:embed="rId33"/>
                    <a:stretch>
                      <a:fillRect/>
                    </a:stretch>
                  </pic:blipFill>
                  <pic:spPr>
                    <a:xfrm>
                      <a:off x="0" y="0"/>
                      <a:ext cx="12011230" cy="6995160"/>
                    </a:xfrm>
                    <a:prstGeom prst="rect"/>
                  </pic:spPr>
                </pic:pic>
              </a:graphicData>
            </a:graphic>
          </wp:inline>
        </w:drawing>
      </w:r>
    </w:p>
    <w:p>
      <w:pPr>
        <w:pStyle w:val="Caption"/>
      </w:pPr>
      <w:r>
        <w:rPr>
          <w:b w:val="0"/>
        </w:rPr>
        <w:t>Figura 8. SMD_LoteDeInventario. Exportación nativa de StarUML 7.1.1 sobre fondo blanco. El PNG completo se incluye en diagramas/.</w:t>
      </w:r>
    </w:p>
    <w:p>
      <w:pPr>
        <w:pStyle w:val="Heading2"/>
      </w:pPr>
      <w:r>
        <w:rPr>
          <w:b w:val="0"/>
        </w:rPr>
        <w:t>Casos de borde y resiliencia</w:t>
      </w:r>
    </w:p>
    <w:p>
      <w:r>
        <w:rPr>
          <w:b w:val="0"/>
          <w:sz w:val="22"/>
        </w:rPr>
        <w:t>El descuento valida una cantidad positiva y suficiente existencia. El saldo se evalúa después del descuento atómico: la última unidad lleva inmediatamente a Agotado. Un siniestro bloquea el lote y solo permite su destrucción o decomiso. Un recall inmoviliza la mercancía. El control de concurrencia debe impedir stock negativo o descuentos duplicados.</w:t>
      </w:r>
    </w:p>
    <w:p>
      <w:pPr>
        <w:sectPr>
          <w:footerReference w:type="default" r:id="rId32"/>
          <w:pgSz w:w="23810" w:h="16838"/>
          <w:pgMar w:top="792" w:right="864" w:bottom="792" w:left="864" w:header="288" w:footer="360" w:gutter="0"/>
          <w:cols w:space="720"/>
          <w:docGrid w:linePitch="360"/>
        </w:sectPr>
      </w:pPr>
    </w:p>
    <w:p>
      <w:pPr>
        <w:pStyle w:val="Heading1"/>
      </w:pPr>
      <w:r>
        <w:rPr>
          <w:b w:val="0"/>
        </w:rPr>
        <w:t>Matriz 08 LoteDeInventario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Recibido_​En_​Cuarentena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lote entra al muelle en cuarentena.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Activo_​En_​Picking</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descontarUnidades()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[cantidad &gt; 0 &amp;&amp;​ cantidad &lt;= existencias]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descontarStockAtomico()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Descuento atómico validado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[existencias &gt;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registrarSaldoDisponible()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Activo_​En_​Picking</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Quedan existencias → sigue en picking.</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Aprobado_​En_​Ubicacion_​Almacen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descontarUnidades()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[cantidad &gt; 0 &amp;&amp;​ cantidad &lt;= existencias]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descontarStockAtomico()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Primer descuento desde la ubicación.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Recibido_​En_​Cuarentena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completarControlCalidad()</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Resultado del control de calidad.</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[resultadoQC == 'APROBADO']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asignarUbicacion()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Aprobado_​En_​Ubicacion_​Almacen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Control de calidad aprobado → ubicación en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[else]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notificarProveedor()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Destruido_​Decomisado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Todo resultado que no sea APROBADO se trata de forma conservadora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marcarMerma()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registrarIncidente()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Bloqueado_​Por_​Siniestro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Incidente en almacén → marcarMerma() bloquea el lote, desde cualquier subestado.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Bloqueado_​Por_​Siniestro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decomisarLote()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emitirActaDestruccion()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Destruido_​Decomisado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Desde el bloqueo, el único destino es el decomiso.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emitirRecall()</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bloquearVentas()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Inmovilizado_​Por_​Recall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Recall del proveedor inmoviliza el lote en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Recibido_​En_​Cuarentena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emitirRecall()</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bloquearVentas()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Inmovilizado_​Por_​Recall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Recall también aplica durante la cuarentena.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[existencias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liberarUbicacion()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Agotado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Existencias en cero → agotado en el mismo evento.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Inmovilizado_​Por_​Recall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devolverAProveedor()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generarNotaCredito()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Devolución al proveedor con nota de crédito cierra el ciclo.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Destruido_​Decomisado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lote destruido.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Agotado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natural: existencias agotadas.</w:t>
            </w:r>
          </w:p>
        </w:tc>
      </w:tr>
    </w:tbl>
    <w:p>
      <w:r>
        <w:rPr>
          <w:b w:val="0"/>
          <w:sz w:val="17"/>
        </w:rPr>
        <w:t>Fuente semántica: LogiFlow360_StateModels.mdj. Filas 08-T01 a 08-T15. La versión CSV y Markdown conserva además el tipo y la justificación completa.</w:t>
      </w:r>
    </w:p>
    <w:p>
      <w:pPr>
        <w:sectPr>
          <w:footerReference w:type="default" r:id="rId34"/>
          <w:pgSz w:w="16838" w:h="23810"/>
          <w:pgMar w:top="792" w:right="864" w:bottom="792" w:left="864" w:header="288" w:footer="360" w:gutter="0"/>
          <w:cols w:space="720"/>
          <w:docGrid w:linePitch="360"/>
        </w:sectPr>
      </w:pPr>
    </w:p>
    <w:p>
      <w:pPr>
        <w:pStyle w:val="Heading1"/>
      </w:pPr>
      <w:r>
        <w:rPr>
          <w:b w:val="0"/>
        </w:rPr>
        <w:t>Ficha 09 CuentaDeConductor</w:t>
      </w:r>
    </w:p>
    <w:p>
      <w:r>
        <w:rPr>
          <w:b w:val="0"/>
          <w:sz w:val="22"/>
        </w:rPr>
        <w:t>Cuenta contractual y operativa del conductor durante su relación con la plataforma.  Estados 8  |  Transiciones 14</w:t>
      </w:r>
    </w:p>
    <w:p>
      <w:pPr>
        <w:spacing w:after="60"/>
        <w:jc w:val="center"/>
      </w:pPr>
      <w:r>
        <w:drawing>
          <wp:inline xmlns:a="http://schemas.openxmlformats.org/drawingml/2006/main" xmlns:pic="http://schemas.openxmlformats.org/drawingml/2006/picture">
            <wp:extent cx="13807439" cy="5161231"/>
            <wp:docPr id="9" name="Picture 9" descr="SMD CuentaDeConductor"/>
            <wp:cNvGraphicFramePr>
              <a:graphicFrameLocks noChangeAspect="1"/>
            </wp:cNvGraphicFramePr>
            <a:graphic>
              <a:graphicData uri="http://schemas.openxmlformats.org/drawingml/2006/picture">
                <pic:pic>
                  <pic:nvPicPr>
                    <pic:cNvPr id="0" name="SMD_CuentaDeConductor.png"/>
                    <pic:cNvPicPr/>
                  </pic:nvPicPr>
                  <pic:blipFill>
                    <a:blip r:embed="rId36"/>
                    <a:stretch>
                      <a:fillRect/>
                    </a:stretch>
                  </pic:blipFill>
                  <pic:spPr>
                    <a:xfrm>
                      <a:off x="0" y="0"/>
                      <a:ext cx="13807439" cy="5161231"/>
                    </a:xfrm>
                    <a:prstGeom prst="rect"/>
                  </pic:spPr>
                </pic:pic>
              </a:graphicData>
            </a:graphic>
          </wp:inline>
        </w:drawing>
      </w:r>
    </w:p>
    <w:p>
      <w:pPr>
        <w:pStyle w:val="Caption"/>
      </w:pPr>
      <w:r>
        <w:rPr>
          <w:b w:val="0"/>
        </w:rPr>
        <w:t>Figura 9. SMD_CuentaDeConductor. Exportación nativa de StarUML 7.1.1 sobre fondo blanco. El PNG completo se incluye en diagramas/.</w:t>
      </w:r>
    </w:p>
    <w:p>
      <w:pPr>
        <w:pStyle w:val="Heading2"/>
      </w:pPr>
      <w:r>
        <w:rPr>
          <w:b w:val="0"/>
        </w:rPr>
        <w:t>Casos de borde y resiliencia</w:t>
      </w:r>
    </w:p>
    <w:p>
      <w:r>
        <w:rPr>
          <w:b w:val="0"/>
          <w:sz w:val="22"/>
        </w:rPr>
        <w:t>Compliance verifica los documentos. El desempeño insuficiente suspende y exige reentrenamiento y autorización para volver. El fraude confirmado tiene prioridad y expulsa de forma irreversible. La baja voluntaria requiere identidad verificada y ausencia de paquetes y obligaciones pendientes; conserva la auditoría. El registro incompleto tiene seguimiento explícito sin activar automáticamente una cuenta.</w:t>
      </w:r>
    </w:p>
    <w:p>
      <w:pPr>
        <w:sectPr>
          <w:footerReference w:type="default" r:id="rId35"/>
          <w:pgSz w:w="23810" w:h="16838"/>
          <w:pgMar w:top="792" w:right="864" w:bottom="792" w:left="864" w:header="288" w:footer="360" w:gutter="0"/>
          <w:cols w:space="720"/>
          <w:docGrid w:linePitch="360"/>
        </w:sectPr>
      </w:pPr>
    </w:p>
    <w:p>
      <w:pPr>
        <w:pStyle w:val="Heading1"/>
      </w:pPr>
      <w:r>
        <w:rPr>
          <w:b w:val="0"/>
        </w:rPr>
        <w:t>Matriz 09 CuentaDeConductor</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cuenta nace con registro incompleto.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Desconectado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conectarse()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publicarDisponibilidad()</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En_​Linea_​Disponible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conductor se conecta.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En_​Linea_​Disponible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desconectarse()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retirarDeDespacho()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Desconectado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conductor se desconecta.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Registro_​Incompleto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subirDocumentos()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[dni &amp;&amp;​ licencia &amp;&amp;​ antecedentes]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enviarACompliance()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Documentacion_​En_​Validacion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DNI, licencia y antecedentes completos → validación.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Documentacion_​En_​Validacion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rechazarDocumentos()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notificarCorreccion()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Compliance rechaza: el conductor debe corregir.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Documentacion_​En_​Validacion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aprobarDocumentos()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habilitarCuenta()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Desconectado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Compliance verifica los documentos.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Activo_​Habilitado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evaluarDesempeno()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[!fraudeConfirmado &amp;&amp;​ (calificacion &lt; 4.2 || quejasGraves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notificarSuspension()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Suspendido_​Por_​Bajo_​Desempeno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Calificación &lt; 4.2 o 3 quejas graves → suspensión.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Suspendido_​Por_​Bajo_​Desempeno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completarReentrenamiento()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[cursoAprobado &amp;&amp;​ complianceAutoriza &amp;&amp;​ !fraudeConfirmado]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reactivarCuenta()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Desconectado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Compliance resuelve el motivo de suspensión antes de reactivar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Activo_​Habilitado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detectarFraude()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[fraudeConfirmado &amp;&amp;​ (fakeGPS || sustraccionPaquetes)]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vetarConductor()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Expulsado_​Permanente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Fake GPS o sustracción confirmados → expulsión irreversible.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Suspendido_​Por_​Bajo_​Desempeno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detectarFraude()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[fraudeConfirmado &amp;&amp;​ (fakeGPS || sustraccionPaquetes)]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vetarConductor()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Expulsado_​Permanente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fraude confirmado también expulsa a un suspendido.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Activo_​Habilitado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solicitarBaja()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[identidadVerificada &amp;&amp;​ !paquetesPendientes &amp;&amp;​ !obligacionesOperativasPendientes &amp;&amp;​ !fraudeConfirmado]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registrarBajaVoluntaria()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Dado_​De_​Baja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Baja verificada sin custodia ni obligaciones pendientes.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Expulsado_​Permanente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irreversible: conductor vetado.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Dado_​De_​Baja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contractual con historial conservado.</w:t>
            </w:r>
          </w:p>
        </w:tc>
      </w:tr>
    </w:tbl>
    <w:p>
      <w:r>
        <w:rPr>
          <w:b w:val="0"/>
          <w:sz w:val="17"/>
        </w:rPr>
        <w:t>Fuente semántica: LogiFlow360_StateModels.mdj. Filas 09-T01 a 09-T14. La versión CSV y Markdown conserva además el tipo y la justificación completa.</w:t>
      </w:r>
    </w:p>
    <w:p>
      <w:pPr>
        <w:sectPr>
          <w:footerReference w:type="default" r:id="rId37"/>
          <w:pgSz w:w="16838" w:h="23810"/>
          <w:pgMar w:top="792" w:right="864" w:bottom="792" w:left="864" w:header="288" w:footer="360" w:gutter="0"/>
          <w:cols w:space="720"/>
          <w:docGrid w:linePitch="360"/>
        </w:sectPr>
      </w:pPr>
    </w:p>
    <w:p>
      <w:pPr>
        <w:pStyle w:val="Heading1"/>
      </w:pPr>
      <w:r>
        <w:rPr>
          <w:b w:val="0"/>
        </w:rPr>
        <w:t>Ficha 10 DisputaBancaria</w:t>
      </w:r>
    </w:p>
    <w:p>
      <w:r>
        <w:rPr>
          <w:b w:val="0"/>
          <w:sz w:val="22"/>
        </w:rPr>
        <w:t>Reclamo bancario por contracargo, evidencias y resolución del emisor.  Estados 8  |  Transiciones 19</w:t>
      </w:r>
    </w:p>
    <w:p>
      <w:pPr>
        <w:spacing w:after="60"/>
        <w:jc w:val="center"/>
      </w:pPr>
      <w:r>
        <w:drawing>
          <wp:inline xmlns:a="http://schemas.openxmlformats.org/drawingml/2006/main" xmlns:pic="http://schemas.openxmlformats.org/drawingml/2006/picture">
            <wp:extent cx="9326880" cy="8695426"/>
            <wp:docPr id="10" name="Picture 10" descr="SMD DisputaBancaria"/>
            <wp:cNvGraphicFramePr>
              <a:graphicFrameLocks noChangeAspect="1"/>
            </wp:cNvGraphicFramePr>
            <a:graphic>
              <a:graphicData uri="http://schemas.openxmlformats.org/drawingml/2006/picture">
                <pic:pic>
                  <pic:nvPicPr>
                    <pic:cNvPr id="0" name="SMD_DisputaBancaria.png"/>
                    <pic:cNvPicPr/>
                  </pic:nvPicPr>
                  <pic:blipFill>
                    <a:blip r:embed="rId39"/>
                    <a:stretch>
                      <a:fillRect/>
                    </a:stretch>
                  </pic:blipFill>
                  <pic:spPr>
                    <a:xfrm>
                      <a:off x="0" y="0"/>
                      <a:ext cx="9326880" cy="8695426"/>
                    </a:xfrm>
                    <a:prstGeom prst="rect"/>
                  </pic:spPr>
                </pic:pic>
              </a:graphicData>
            </a:graphic>
          </wp:inline>
        </w:drawing>
      </w:r>
    </w:p>
    <w:p>
      <w:pPr>
        <w:pStyle w:val="Caption"/>
      </w:pPr>
      <w:r>
        <w:rPr>
          <w:b w:val="0"/>
        </w:rPr>
        <w:t>Figura 10. SMD_DisputaBancaria. Exportación nativa de StarUML 7.1.1 sobre fondo blanco. El PNG completo se incluye en diagramas/.</w:t>
      </w:r>
    </w:p>
    <w:p>
      <w:pPr>
        <w:pStyle w:val="Heading2"/>
      </w:pPr>
      <w:r>
        <w:rPr>
          <w:b w:val="0"/>
        </w:rPr>
        <w:t>Casos de borde y resiliencia</w:t>
      </w:r>
    </w:p>
    <w:p>
      <w:r>
        <w:rPr>
          <w:b w:val="0"/>
          <w:sz w:val="22"/>
        </w:rPr>
        <w:t>La retención nace con la notificación. Las evidencias deben presentarse en siete días. El arbitraje de 45 días no garantiza una decisión del banco: su vencimiento escala y conserva los fondos. Las esperas tienen seguimiento explícito. Solo una respuesta válida del emisor resuelve la disputa. El allanamiento es una decisión de negocio documentada.</w:t>
      </w:r>
    </w:p>
    <w:p>
      <w:pPr>
        <w:sectPr>
          <w:footerReference w:type="default" r:id="rId38"/>
          <w:pgSz w:w="16838" w:h="23810"/>
          <w:pgMar w:top="792" w:right="864" w:bottom="792" w:left="864" w:header="288" w:footer="360" w:gutter="0"/>
          <w:cols w:space="720"/>
          <w:docGrid w:linePitch="360"/>
        </w:sectPr>
      </w:pPr>
    </w:p>
    <w:p>
      <w:pPr>
        <w:pStyle w:val="Heading1"/>
      </w:pPr>
      <w:r>
        <w:rPr>
          <w:b w:val="0"/>
        </w:rPr>
        <w:t>Matriz 10 DisputaBancaria</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Notificada_​Por_​Red_​Bancaria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disputa nace con la notificación de la red bancaria.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Notificada_​Por_​Red_​Bancaria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registrarDisputa()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abrirExpediente()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En_​Recoleccion_​De_​Evidencias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 retienen fondos y se abre el expediente.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enviarEvidencias()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[fotos &amp;&amp;​ gps &amp;&amp;​ firma &amp;&amp;​ ahora &lt; fechaLimiteEvidencias]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transmitirAlEmisor()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Evidencias_​Presentadas_​Al_​Emisor</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Fotos, GPS y firma completas, dentro del plazo.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Evidencias_​Presentadas_​Al_​Emisor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confirmarRecepcionEmisor()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iniciarPlazoArbitraje()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En_​Arbitraje_​Bancario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emisor confirma recepción → arbitraje.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En_​Arbitraje_​Bancario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recibirFallo()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[firmaValida &amp;&amp;​ (fallo == 'A_​FAVOR_​EMPRESA' || fallo == 'A_​FAVOR_​CLIENTE')]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guardarFalloVerificado()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Solo se acepta un fallo firmado con resultado contemplado.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[fallo == 'A_​FAVOR_​EMPRESA']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liberarFondos()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Ganada_​Fondos_​Liberados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Fallo a favor de la empresa → fondos liberados.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[fallo == 'A_​FAVOR_​CLIENTE']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aplicarContracargo()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Perdida_​Con_​Penalizacion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Fallo a favor del cliente → contracargo.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after(7 dias)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registrarPerdidaPorPlazo()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Perdida_​Con_​Penalizacion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 evidencias en 7 días → pérdida).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Notificada_​Por_​Red_​Bancaria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allanarse()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reembolsarTarjetahabiente()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Aceptada_​Sin_​Disputa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allanarse(): el monto no justifica litigar.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allanarse()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reembolsarTarjetahabiente()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Aceptada_​Sin_​Disputa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allanarse() también durante la recolección de evidencias.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at(fechaLimiteEvidencias)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registrarPerdidaPorPlazo()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Perdida_​Con_​Penalizacion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Fecha límite absoluta de evidencias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En_​Arbitraje_​Bancario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after(45 dias)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registrarPlazoExcedido()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silencio del banco no implica victoria ni derrota. Estado añadido como decisión conservadora.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En_​Arbitraje_​Bancario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at(fechaLimiteArbitraje)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registrarPlazoExcedido()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En_​Seguimiento_​Plazo_​Excedido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Fecha límite absoluta del arbitraje.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recibirFallo()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[firmaValida &amp;&amp;​ (fallo == 'A_​FAVOR_​EMPRESA' || fallo == 'A_​FAVOR_​CLIENTE')]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guardarFalloVerificado()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Un fallo tardío se procesa igual que uno a tiempo.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Evidencias_​Presentadas_​Al_​Emisor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Evidencias_​Presentadas_​Al_​Emisor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Aceptada_​Sin_​Disputa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aceptada sin disputa.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Ganada_​Fondos_​Liberados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ganada.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Perdida_​Con_​Penalizacion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perdida.</w:t>
            </w:r>
          </w:p>
        </w:tc>
      </w:tr>
    </w:tbl>
    <w:p>
      <w:r>
        <w:rPr>
          <w:b w:val="0"/>
          <w:sz w:val="17"/>
        </w:rPr>
        <w:t>Fuente semántica: LogiFlow360_StateModels.mdj. Filas 10-T01 a 10-T19. La versión CSV y Markdown conserva además el tipo y la justificación completa.</w:t>
      </w:r>
    </w:p>
    <w:p>
      <w:pPr>
        <w:sectPr>
          <w:footerReference w:type="default" r:id="rId40"/>
          <w:pgSz w:w="16838" w:h="23810"/>
          <w:pgMar w:top="792" w:right="864" w:bottom="792" w:left="864" w:header="288" w:footer="360" w:gutter="0"/>
          <w:cols w:space="720"/>
          <w:docGrid w:linePitch="360"/>
        </w:sectPr>
      </w:pPr>
    </w:p>
    <w:p>
      <w:pPr>
        <w:pStyle w:val="Heading1"/>
      </w:pPr>
      <w:r>
        <w:rPr>
          <w:b w:val="0"/>
        </w:rPr>
        <w:t>Persistencia y auditoría de estados</w:t>
      </w:r>
    </w:p>
    <w:p>
      <w:r>
        <w:rPr>
          <w:b w:val="0"/>
          <w:sz w:val="20"/>
        </w:rPr>
        <w:t>El catálogo estado identifica cada situación por tipo de entidad. Las claves foráneas compuestas impiden asignar el estado de un casillero a un paquete. La propuesta usa historial_transiciones_estado, nombre de la sección 5 de la guía; historial_cambio_estados aparece en la descripción del rol y se interpreta como el mismo concepto.</w:t>
      </w:r>
    </w:p>
    <w:p>
      <w:r>
        <w:rPr>
          <w:b w:val="0"/>
          <w:sz w:val="20"/>
        </w:rPr>
        <w:t>El historial contiene cambios aceptados y es inmutable. Los rechazos se conservan aparte. evento_procesado identifica el resultado global de cada eventId y compara su contenido: una repetición exacta devuelve el resultado previo; reutilizar el identificador para otra petición es un error.</w:t>
      </w:r>
    </w:p>
    <w:p>
      <w:pPr>
        <w:pStyle w:val="Heading2"/>
      </w:pPr>
      <w:r>
        <w:rPr>
          <w:b w:val="0"/>
        </w:rPr>
        <w:t>Esquema del registro de auditoría</w:t>
      </w:r>
    </w:p>
    <w:p>
      <w:pPr>
        <w:spacing w:after="0" w:line="240" w:lineRule="auto"/>
      </w:pPr>
      <w:r>
        <w:rPr>
          <w:rFonts w:ascii="Liberation Mono" w:hAnsi="Liberation Mono"/>
          <w:b w:val="0"/>
          <w:sz w:val="16"/>
        </w:rPr>
        <w:t>CREATE TABLE historial_transiciones_estado (</w:t>
      </w:r>
    </w:p>
    <w:p>
      <w:pPr>
        <w:spacing w:after="0" w:line="240" w:lineRule="auto"/>
      </w:pPr>
      <w:r>
        <w:rPr>
          <w:rFonts w:ascii="Liberation Mono" w:hAnsi="Liberation Mono"/>
          <w:b w:val="0"/>
          <w:sz w:val="16"/>
        </w:rPr>
        <w:t xml:space="preserve"> id BIGSERIAL PRIMARY KEY,</w:t>
      </w:r>
    </w:p>
    <w:p>
      <w:pPr>
        <w:spacing w:after="0" w:line="240" w:lineRule="auto"/>
      </w:pPr>
      <w:r>
        <w:rPr>
          <w:rFonts w:ascii="Liberation Mono" w:hAnsi="Liberation Mono"/>
          <w:b w:val="0"/>
          <w:sz w:val="16"/>
        </w:rPr>
        <w:t xml:space="preserve"> tipo_entidad VARCHAR(40) NOT NULL REFERENCES tipo_entidad(codigo),</w:t>
      </w:r>
    </w:p>
    <w:p>
      <w:pPr>
        <w:spacing w:after="0" w:line="240" w:lineRule="auto"/>
      </w:pPr>
      <w:r>
        <w:rPr>
          <w:rFonts w:ascii="Liberation Mono" w:hAnsi="Liberation Mono"/>
          <w:b w:val="0"/>
          <w:sz w:val="16"/>
        </w:rPr>
        <w:t xml:space="preserve"> entidad_id UUID NOT NULL,</w:t>
      </w:r>
    </w:p>
    <w:p>
      <w:pPr>
        <w:spacing w:after="0" w:line="240" w:lineRule="auto"/>
      </w:pPr>
      <w:r>
        <w:rPr>
          <w:rFonts w:ascii="Liberation Mono" w:hAnsi="Liberation Mono"/>
          <w:b w:val="0"/>
          <w:sz w:val="16"/>
        </w:rPr>
        <w:t xml:space="preserve"> transicion_id INT NOT NULL,</w:t>
      </w:r>
    </w:p>
    <w:p>
      <w:pPr>
        <w:spacing w:after="0" w:line="240" w:lineRule="auto"/>
      </w:pPr>
      <w:r>
        <w:rPr>
          <w:rFonts w:ascii="Liberation Mono" w:hAnsi="Liberation Mono"/>
          <w:b w:val="0"/>
          <w:sz w:val="16"/>
        </w:rPr>
        <w:t xml:space="preserve"> estado_origen_id INT,</w:t>
      </w:r>
    </w:p>
    <w:p>
      <w:pPr>
        <w:spacing w:after="0" w:line="240" w:lineRule="auto"/>
      </w:pPr>
      <w:r>
        <w:rPr>
          <w:rFonts w:ascii="Liberation Mono" w:hAnsi="Liberation Mono"/>
          <w:b w:val="0"/>
          <w:sz w:val="16"/>
        </w:rPr>
        <w:t xml:space="preserve"> estado_destino_id INT NOT NULL,</w:t>
      </w:r>
    </w:p>
    <w:p>
      <w:pPr>
        <w:spacing w:after="0" w:line="240" w:lineRule="auto"/>
      </w:pPr>
      <w:r>
        <w:rPr>
          <w:rFonts w:ascii="Liberation Mono" w:hAnsi="Liberation Mono"/>
          <w:b w:val="0"/>
          <w:sz w:val="16"/>
        </w:rPr>
        <w:t xml:space="preserve"> evento VARCHAR(60) NOT NULL,</w:t>
      </w:r>
    </w:p>
    <w:p>
      <w:pPr>
        <w:spacing w:after="0" w:line="240" w:lineRule="auto"/>
      </w:pPr>
      <w:r>
        <w:rPr>
          <w:rFonts w:ascii="Liberation Mono" w:hAnsi="Liberation Mono"/>
          <w:b w:val="0"/>
          <w:sz w:val="16"/>
        </w:rPr>
        <w:t xml:space="preserve"> event_id UUID NOT NULL UNIQUE REFERENCES evento_procesado(event_id),</w:t>
      </w:r>
    </w:p>
    <w:p>
      <w:pPr>
        <w:spacing w:after="0" w:line="240" w:lineRule="auto"/>
      </w:pPr>
      <w:r>
        <w:rPr>
          <w:rFonts w:ascii="Liberation Mono" w:hAnsi="Liberation Mono"/>
          <w:b w:val="0"/>
          <w:sz w:val="16"/>
        </w:rPr>
        <w:t xml:space="preserve"> responsable_tipo VARCHAR(12) NOT NULL,</w:t>
      </w:r>
    </w:p>
    <w:p>
      <w:pPr>
        <w:spacing w:after="0" w:line="240" w:lineRule="auto"/>
      </w:pPr>
      <w:r>
        <w:rPr>
          <w:rFonts w:ascii="Liberation Mono" w:hAnsi="Liberation Mono"/>
          <w:b w:val="0"/>
          <w:sz w:val="16"/>
        </w:rPr>
        <w:t xml:space="preserve"> responsable_id VARCHAR(80) NOT NULL,</w:t>
      </w:r>
    </w:p>
    <w:p>
      <w:pPr>
        <w:spacing w:after="0" w:line="240" w:lineRule="auto"/>
      </w:pPr>
      <w:r>
        <w:rPr>
          <w:rFonts w:ascii="Liberation Mono" w:hAnsi="Liberation Mono"/>
          <w:b w:val="0"/>
          <w:sz w:val="16"/>
        </w:rPr>
        <w:t xml:space="preserve"> ocurrido_en TIMESTAMPTZ NOT NULL,</w:t>
      </w:r>
    </w:p>
    <w:p>
      <w:pPr>
        <w:spacing w:after="0" w:line="240" w:lineRule="auto"/>
      </w:pPr>
      <w:r>
        <w:rPr>
          <w:rFonts w:ascii="Liberation Mono" w:hAnsi="Liberation Mono"/>
          <w:b w:val="0"/>
          <w:sz w:val="16"/>
        </w:rPr>
        <w:t xml:space="preserve"> registrado_en TIMESTAMPTZ NOT NULL DEFAULT now(),</w:t>
      </w:r>
    </w:p>
    <w:p>
      <w:pPr>
        <w:spacing w:after="0" w:line="240" w:lineRule="auto"/>
      </w:pPr>
      <w:r>
        <w:rPr>
          <w:rFonts w:ascii="Liberation Mono" w:hAnsi="Liberation Mono"/>
          <w:b w:val="0"/>
          <w:sz w:val="16"/>
        </w:rPr>
        <w:t xml:space="preserve"> version_resultante INT NOT NULL,</w:t>
      </w:r>
    </w:p>
    <w:p>
      <w:pPr>
        <w:spacing w:after="0" w:line="240" w:lineRule="auto"/>
      </w:pPr>
      <w:r>
        <w:rPr>
          <w:rFonts w:ascii="Liberation Mono" w:hAnsi="Liberation Mono"/>
          <w:b w:val="0"/>
          <w:sz w:val="16"/>
        </w:rPr>
        <w:t xml:space="preserve"> payload JSONB NOT NULL DEFAULT '{}'::jsonb,</w:t>
      </w:r>
    </w:p>
    <w:p>
      <w:pPr>
        <w:spacing w:after="0" w:line="240" w:lineRule="auto"/>
      </w:pPr>
      <w:r>
        <w:rPr>
          <w:rFonts w:ascii="Liberation Mono" w:hAnsi="Liberation Mono"/>
          <w:b w:val="0"/>
          <w:sz w:val="16"/>
        </w:rPr>
        <w:t xml:space="preserve"> FOREIGN KEY (estado_origen_id,tipo_entidad)</w:t>
      </w:r>
    </w:p>
    <w:p>
      <w:pPr>
        <w:spacing w:after="0" w:line="240" w:lineRule="auto"/>
      </w:pPr>
      <w:r>
        <w:rPr>
          <w:rFonts w:ascii="Liberation Mono" w:hAnsi="Liberation Mono"/>
          <w:b w:val="0"/>
          <w:sz w:val="16"/>
        </w:rPr>
        <w:t xml:space="preserve">   REFERENCES estado(id,tipo_entidad),</w:t>
      </w:r>
    </w:p>
    <w:p>
      <w:pPr>
        <w:spacing w:after="0" w:line="240" w:lineRule="auto"/>
      </w:pPr>
      <w:r>
        <w:rPr>
          <w:rFonts w:ascii="Liberation Mono" w:hAnsi="Liberation Mono"/>
          <w:b w:val="0"/>
          <w:sz w:val="16"/>
        </w:rPr>
        <w:t xml:space="preserve"> FOREIGN KEY (estado_destino_id,tipo_entidad)</w:t>
      </w:r>
    </w:p>
    <w:p>
      <w:pPr>
        <w:spacing w:after="0" w:line="240" w:lineRule="auto"/>
      </w:pPr>
      <w:r>
        <w:rPr>
          <w:rFonts w:ascii="Liberation Mono" w:hAnsi="Liberation Mono"/>
          <w:b w:val="0"/>
          <w:sz w:val="16"/>
        </w:rPr>
        <w:t xml:space="preserve">   REFERENCES estado(id,tipo_entidad),</w:t>
      </w:r>
    </w:p>
    <w:p>
      <w:pPr>
        <w:spacing w:after="0" w:line="240" w:lineRule="auto"/>
      </w:pPr>
      <w:r>
        <w:rPr>
          <w:rFonts w:ascii="Liberation Mono" w:hAnsi="Liberation Mono"/>
          <w:b w:val="0"/>
          <w:sz w:val="16"/>
        </w:rPr>
        <w:t xml:space="preserve"> FOREIGN KEY (transicion_id,tipo_entidad)</w:t>
      </w:r>
    </w:p>
    <w:p>
      <w:pPr>
        <w:spacing w:after="0" w:line="240" w:lineRule="auto"/>
      </w:pPr>
      <w:r>
        <w:rPr>
          <w:rFonts w:ascii="Liberation Mono" w:hAnsi="Liberation Mono"/>
          <w:b w:val="0"/>
          <w:sz w:val="16"/>
        </w:rPr>
        <w:t xml:space="preserve">   REFERENCES transicion_permitida(id,tipo_entidad),</w:t>
      </w:r>
    </w:p>
    <w:p>
      <w:pPr>
        <w:spacing w:after="0" w:line="240" w:lineRule="auto"/>
      </w:pPr>
      <w:r>
        <w:rPr>
          <w:rFonts w:ascii="Liberation Mono" w:hAnsi="Liberation Mono"/>
          <w:b w:val="0"/>
          <w:sz w:val="16"/>
        </w:rPr>
        <w:t xml:space="preserve"> UNIQUE (tipo_entidad,entidad_id,version_resultante)</w:t>
      </w:r>
    </w:p>
    <w:p>
      <w:pPr>
        <w:spacing w:after="0" w:line="240" w:lineRule="auto"/>
      </w:pPr>
      <w:r>
        <w:rPr>
          <w:rFonts w:ascii="Liberation Mono" w:hAnsi="Liberation Mono"/>
          <w:b w:val="0"/>
          <w:sz w:val="16"/>
        </w:rPr>
        <w:t>);</w:t>
      </w:r>
    </w:p>
    <w:p>
      <w:r>
        <w:rPr>
          <w:b w:val="0"/>
          <w:sz w:val="17"/>
        </w:rPr>
        <w:t>Extracto estructural. El DDL ejecutable incluye también las restricciones de responsable y el trigger que impide UPDATE y DELETE; se encuentra en sql/auditoria_estados.sql.</w:t>
      </w:r>
    </w:p>
    <w:p>
      <w:pPr>
        <w:pStyle w:val="Heading2"/>
      </w:pPr>
      <w:r>
        <w:rPr>
          <w:b w:val="0"/>
        </w:rPr>
        <w:t>Atomicidad local y límites de integración</w:t>
      </w:r>
    </w:p>
    <w:p>
      <w:r>
        <w:rPr>
          <w:b w:val="0"/>
          <w:sz w:val="19"/>
        </w:rPr>
        <w:t>La función de ejemplo valida autorización y reglas implementadas, realiza UPDATE con versión esperada y usa RETURNING como única fuente del INSERT de historial. Sin cambio efectivo, no hay historial aceptado ni outbox. El rechazo registra su motivo. El historial y el outbox se confirman en la misma transacción local; un worker entrega después el efecto externo con reintentos idempotentes. No existe una transacción única entre base, banco y cerradura.</w:t>
      </w:r>
    </w:p>
    <w:p>
      <w:r>
        <w:rPr>
          <w:b w:val="0"/>
          <w:sz w:val="19"/>
        </w:rPr>
        <w:t>Las diez entidades requieren tablas de dominio equivalentes o un registro común para referenciar su identidad. El ejemplo implementa paquete_fisico y dos eventos, sin ejecutar como código el texto documental de las guardas. Las verificaciones de identidad, firma y evidencia pertenecen al servidor.</w:t>
      </w:r>
    </w:p>
    <w:p>
      <w:pPr>
        <w:sectPr>
          <w:footerReference w:type="default" r:id="rId41"/>
          <w:pgSz w:w="12240" w:h="15840"/>
          <w:pgMar w:top="1008" w:right="1080" w:bottom="1008" w:left="1080" w:header="288" w:footer="360" w:gutter="0"/>
          <w:cols w:space="720"/>
          <w:docGrid w:linePitch="360"/>
        </w:sectPr>
      </w:pPr>
    </w:p>
    <w:p>
      <w:pPr>
        <w:pStyle w:val="Heading1"/>
      </w:pPr>
      <w:r>
        <w:rPr>
          <w:b w:val="0"/>
        </w:rPr>
        <w:t>Propuesta con el patrón State</w:t>
      </w:r>
    </w:p>
    <w:p>
      <w:pPr>
        <w:spacing w:after="60"/>
        <w:jc w:val="center"/>
      </w:pPr>
      <w:r>
        <w:drawing>
          <wp:inline xmlns:a="http://schemas.openxmlformats.org/drawingml/2006/main" xmlns:pic="http://schemas.openxmlformats.org/drawingml/2006/picture">
            <wp:extent cx="6240087" cy="3749039"/>
            <wp:docPr id="11" name="Picture 11" descr="CD PatronState PaqueteFisico"/>
            <wp:cNvGraphicFramePr>
              <a:graphicFrameLocks noChangeAspect="1"/>
            </wp:cNvGraphicFramePr>
            <a:graphic>
              <a:graphicData uri="http://schemas.openxmlformats.org/drawingml/2006/picture">
                <pic:pic>
                  <pic:nvPicPr>
                    <pic:cNvPr id="0" name="CD_PatronState_PaqueteFisico.png"/>
                    <pic:cNvPicPr/>
                  </pic:nvPicPr>
                  <pic:blipFill>
                    <a:blip r:embed="rId43"/>
                    <a:stretch>
                      <a:fillRect/>
                    </a:stretch>
                  </pic:blipFill>
                  <pic:spPr>
                    <a:xfrm>
                      <a:off x="0" y="0"/>
                      <a:ext cx="6240087" cy="3749039"/>
                    </a:xfrm>
                    <a:prstGeom prst="rect"/>
                  </pic:spPr>
                </pic:pic>
              </a:graphicData>
            </a:graphic>
          </wp:inline>
        </w:drawing>
      </w:r>
    </w:p>
    <w:p>
      <w:pPr>
        <w:pStyle w:val="Caption"/>
      </w:pPr>
      <w:r>
        <w:rPr>
          <w:b w:val="0"/>
        </w:rPr>
        <w:t>Figura 11. Context, interfaz, herencia de contingencias y estados representativos. El código contiene todos los estados del paquete; esta vista muestra las relaciones del patrón.</w:t>
      </w:r>
    </w:p>
    <w:p>
      <w:r>
        <w:rPr>
          <w:b w:val="0"/>
          <w:sz w:val="19"/>
        </w:rPr>
        <w:t>PaqueteFisico delega al estado actual. La interfaz rechaza eventos por defecto; cada clase habilita los suyos. BajoCustodia hereda siniestro y extravío. alEntrar evalúa las transiciones automáticas y cierra entrega o pérdida. El retorno exige recepción confirmada. Los booleanos del ejemplo representan verificaciones confiables del backend.</w:t>
      </w:r>
    </w:p>
    <w:p>
      <w:pPr>
        <w:spacing w:after="0" w:line="240" w:lineRule="auto"/>
      </w:pPr>
      <w:r>
        <w:rPr>
          <w:rFonts w:ascii="Liberation Mono" w:hAnsi="Liberation Mono"/>
          <w:b w:val="0"/>
          <w:sz w:val="16"/>
        </w:rPr>
        <w:t>// Context delega al objeto Estado</w:t>
      </w:r>
    </w:p>
    <w:p>
      <w:pPr>
        <w:spacing w:after="0" w:line="240" w:lineRule="auto"/>
      </w:pPr>
      <w:r>
        <w:rPr>
          <w:rFonts w:ascii="Liberation Mono" w:hAnsi="Liberation Mono"/>
          <w:b w:val="0"/>
          <w:sz w:val="16"/>
        </w:rPr>
        <w:t>public void confirmarEntrega(String id, boolean actor, boolean evidencia) {</w:t>
      </w:r>
    </w:p>
    <w:p>
      <w:pPr>
        <w:spacing w:after="0" w:line="240" w:lineRule="auto"/>
      </w:pPr>
      <w:r>
        <w:rPr>
          <w:rFonts w:ascii="Liberation Mono" w:hAnsi="Liberation Mono"/>
          <w:b w:val="0"/>
          <w:sz w:val="16"/>
        </w:rPr>
        <w:t xml:space="preserve">  procesar(id, "confirmarEntrega()", actor+":"+evidencia, () -&gt; {</w:t>
      </w:r>
    </w:p>
    <w:p>
      <w:pPr>
        <w:spacing w:after="0" w:line="240" w:lineRule="auto"/>
      </w:pPr>
      <w:r>
        <w:rPr>
          <w:rFonts w:ascii="Liberation Mono" w:hAnsi="Liberation Mono"/>
          <w:b w:val="0"/>
          <w:sz w:val="16"/>
        </w:rPr>
        <w:t xml:space="preserve">    autorizar(actor, "confirmarEntrega()");</w:t>
      </w:r>
    </w:p>
    <w:p>
      <w:pPr>
        <w:spacing w:after="0" w:line="240" w:lineRule="auto"/>
      </w:pPr>
      <w:r>
        <w:rPr>
          <w:rFonts w:ascii="Liberation Mono" w:hAnsi="Liberation Mono"/>
          <w:b w:val="0"/>
          <w:sz w:val="16"/>
        </w:rPr>
        <w:t xml:space="preserve">    estado.confirmarEntrega(this, evidencia);</w:t>
      </w:r>
    </w:p>
    <w:p>
      <w:pPr>
        <w:spacing w:after="0" w:line="240" w:lineRule="auto"/>
      </w:pPr>
      <w:r>
        <w:rPr>
          <w:rFonts w:ascii="Liberation Mono" w:hAnsi="Liberation Mono"/>
          <w:b w:val="0"/>
          <w:sz w:val="16"/>
        </w:rPr>
        <w:t xml:space="preserve">  });</w:t>
      </w:r>
    </w:p>
    <w:p>
      <w:pPr>
        <w:spacing w:after="0" w:line="240" w:lineRule="auto"/>
      </w:pPr>
      <w:r>
        <w:rPr>
          <w:rFonts w:ascii="Liberation Mono" w:hAnsi="Liberation Mono"/>
          <w:b w:val="0"/>
          <w:sz w:val="16"/>
        </w:rPr>
        <w:t>}</w:t>
      </w:r>
    </w:p>
    <w:p>
      <w:pPr>
        <w:spacing w:after="0" w:line="240" w:lineRule="auto"/>
      </w:pPr>
      <w:r>
        <w:rPr>
          <w:rFonts w:ascii="Liberation Mono" w:hAnsi="Liberation Mono"/>
          <w:b w:val="0"/>
          <w:sz w:val="16"/>
        </w:rPr>
        <w:t>// La interfaz rechaza lo que un estado no sobrescribe</w:t>
      </w:r>
    </w:p>
    <w:p>
      <w:pPr>
        <w:spacing w:after="0" w:line="240" w:lineRule="auto"/>
      </w:pPr>
      <w:r>
        <w:rPr>
          <w:rFonts w:ascii="Liberation Mono" w:hAnsi="Liberation Mono"/>
          <w:b w:val="0"/>
          <w:sz w:val="16"/>
        </w:rPr>
        <w:t>default void confirmarEntrega(PaqueteFisico p, boolean evidencia) {</w:t>
      </w:r>
    </w:p>
    <w:p>
      <w:pPr>
        <w:spacing w:after="0" w:line="240" w:lineRule="auto"/>
      </w:pPr>
      <w:r>
        <w:rPr>
          <w:rFonts w:ascii="Liberation Mono" w:hAnsi="Liberation Mono"/>
          <w:b w:val="0"/>
          <w:sz w:val="16"/>
        </w:rPr>
        <w:t xml:space="preserve">  throw rechazo("confirmarEntrega()");</w:t>
      </w:r>
    </w:p>
    <w:p>
      <w:pPr>
        <w:spacing w:after="0" w:line="240" w:lineRule="auto"/>
      </w:pPr>
      <w:r>
        <w:rPr>
          <w:rFonts w:ascii="Liberation Mono" w:hAnsi="Liberation Mono"/>
          <w:b w:val="0"/>
          <w:sz w:val="16"/>
        </w:rPr>
        <w:t>}</w:t>
      </w:r>
    </w:p>
    <w:p>
      <w:pPr>
        <w:spacing w:after="0" w:line="240" w:lineRule="auto"/>
      </w:pPr>
      <w:r>
        <w:rPr>
          <w:rFonts w:ascii="Liberation Mono" w:hAnsi="Liberation Mono"/>
          <w:b w:val="0"/>
          <w:sz w:val="16"/>
        </w:rPr>
        <w:t>// RecibidoEnHubOrigen solo habilita iniciarClasificacion()</w:t>
      </w:r>
    </w:p>
    <w:p>
      <w:pPr>
        <w:spacing w:after="0" w:line="240" w:lineRule="auto"/>
      </w:pPr>
      <w:r>
        <w:rPr>
          <w:rFonts w:ascii="Liberation Mono" w:hAnsi="Liberation Mono"/>
          <w:b w:val="0"/>
          <w:sz w:val="16"/>
        </w:rPr>
        <w:t>// EnCaminoAEntrega habilita confirmarEntrega() con evidencia válida</w:t>
      </w:r>
    </w:p>
    <w:p>
      <w:r>
        <w:rPr>
          <w:b w:val="0"/>
          <w:sz w:val="19"/>
        </w:rPr>
        <w:t>Válida: iniciarClasificacion desde Recibido_En_Hub_Origen pasa a En_Clasificacion. Inválida: confirmarEntrega desde ese mismo origen lanza TransicionInvalidaException y conserva el estado. El mapa de idempotencia es local y se pierde al reiniciar; la persistencia del resultado se demuestra por separado en SQL.</w:t>
      </w:r>
    </w:p>
    <w:p>
      <w:pPr>
        <w:sectPr>
          <w:footerReference w:type="default" r:id="rId42"/>
          <w:pgSz w:w="12240" w:h="15840"/>
          <w:pgMar w:top="1008" w:right="1080" w:bottom="1008" w:left="1080" w:header="288" w:footer="360" w:gutter="0"/>
          <w:cols w:space="720"/>
          <w:docGrid w:linePitch="360"/>
        </w:sectPr>
      </w:pPr>
    </w:p>
    <w:p>
      <w:pPr>
        <w:pStyle w:val="Heading1"/>
      </w:pPr>
      <w:r>
        <w:rPr>
          <w:b w:val="0"/>
        </w:rPr>
        <w:t>Lecciones y conclusiones</w:t>
      </w:r>
    </w:p>
    <w:p>
      <w:r>
        <w:rPr>
          <w:b w:val="0"/>
          <w:sz w:val="20"/>
        </w:rPr>
        <w:t>Un flujo funcional describe pasos de una actividad; una máquina de estados describe las situaciones de una entidad que participa en varias actividades. El análisis de LogiFlow muestra que las cancelaciones, los reintentos y los fallos físicos deben formar parte del contrato del objeto. La notación por sí sola no autentica una API: el backend debe validar eventos contra el estado persistido y controlar su concurrencia.</w:t>
      </w:r>
    </w:p>
    <w:p>
      <w:pPr>
        <w:pStyle w:val="Heading2"/>
      </w:pPr>
      <w:r>
        <w:rPr>
          <w:b w:val="0"/>
        </w:rPr>
        <w:t>Decisiones cerradas en la revisión</w:t>
      </w:r>
    </w:p>
    <w:tbl>
      <w:tblPr>
        <w:tblW w:type="auto" w:w="0"/>
        <w:jc w:val="center"/>
        <w:tblLayout w:type="fixed"/>
        <w:tblLook w:firstColumn="1" w:firstRow="1" w:lastColumn="0" w:lastRow="0" w:noHBand="0" w:noVBand="1" w:val="04A0"/>
      </w:tblPr>
      <w:tblGrid>
        <w:gridCol w:w="1440"/>
        <w:gridCol w:w="7920"/>
      </w:tblGrid>
      <w:tr>
        <w:trPr>
          <w:cantSplit/>
          <w:tblHeader/>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DCE6F1"/>
          </w:tcPr>
          <w:p>
            <w:pPr>
              <w:keepNext w:val="0"/>
              <w:spacing w:after="0" w:before="0" w:line="240" w:lineRule="auto"/>
              <w:jc w:val="center"/>
            </w:pPr>
            <w:r>
              <w:rPr>
                <w:b/>
                <w:color w:val="000000"/>
                <w:sz w:val="17"/>
              </w:rPr>
              <w:t>Observación</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Resultado</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QA 01 y 02</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Retiradas porque las transiciones ya eran internas.</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QA 03</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Recepción física antes de reingresar al hub de origen o destino.</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QA 04</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Cierre sin traba y timeout explícitos en las tres fases de puerta abierta.</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QA 05</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Seguimiento interno con responsable y fecha persistida.</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QA 06</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Baja voluntaria verificada sin custodia u obligaciones pendientes.</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QA 07 y 08</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Documentation completo y doble vencimiento relativo y absoluto explicado.</w:t>
            </w:r>
          </w:p>
        </w:tc>
      </w:tr>
    </w:tbl>
    <w:p>
      <w:pPr>
        <w:pStyle w:val="Heading2"/>
      </w:pPr>
      <w:r>
        <w:rPr>
          <w:b w:val="0"/>
        </w:rPr>
        <w:t>Resultados y alcance de la verificación</w:t>
      </w:r>
    </w:p>
    <w:p>
      <w:r>
        <w:rPr>
          <w:b w:val="0"/>
          <w:sz w:val="19"/>
        </w:rPr>
        <w:t>Pasaron 248 comprobaciones estructurales y de simulación, incluidas 47 simulaciones seleccionadas; Java pasó 28 comprobaciones y SQL pasó 16 en PostgreSQL 18.6 mediante PGlite 0.5.10. Se exportaron once diagramas con StarUML 7.1.1. Estos resultados comprueban el ejemplo y los recorridos seleccionados; no certifican integraciones bancarias, sensores reales ni concurrencia distribuida.</w:t>
      </w:r>
    </w:p>
    <w:p>
      <w:pPr>
        <w:pStyle w:val="Heading2"/>
      </w:pPr>
      <w:r>
        <w:rPr>
          <w:b w:val="0"/>
        </w:rPr>
        <w:t>Supuestos y parámetros de operación</w:t>
      </w:r>
    </w:p>
    <w:p>
      <w:r>
        <w:rPr>
          <w:b w:val="0"/>
          <w:sz w:val="19"/>
        </w:rPr>
        <w:t>Tres intentos de pago significan tres envíos totales. Los 15 días sin despacho de devolución son un supuesto adicional. Los días hábiles requieren calendario, zona horaria y festivos acordados. umbralRiesgo, timeoutCierre, los demás timeout y las fechas de seguimiento son parámetros configurables del despliegue. No se inventa un resultado financiero al vencer un plazo. La pérdida logística conserva por separado la obligación de compensación.</w:t>
      </w:r>
    </w:p>
    <w:p>
      <w:r>
        <w:rPr>
          <w:b w:val="0"/>
          <w:sz w:val="19"/>
        </w:rPr>
        <w:t>Las revisiones dejaron tres lecciones concretas: encontrar un paquete no prueba su recepción, cerrar una puerta no prueba que quedó trabada y solicitar dinero no prueba que el banco lo acreditó. La entrega mantiene esas diferencias en modelo, matrices y ejemplos.</w:t>
      </w:r>
    </w:p>
    <w:p>
      <w:pPr>
        <w:pStyle w:val="Heading2"/>
      </w:pPr>
      <w:r>
        <w:rPr>
          <w:b w:val="0"/>
        </w:rPr>
        <w:t>Referencias</w:t>
      </w:r>
    </w:p>
    <w:p>
      <w:r>
        <w:rPr>
          <w:b w:val="0"/>
          <w:sz w:val="16"/>
        </w:rPr>
        <w:t>Guía de la práctica del curso. Modelado dinámico con diagramas de máquinas de estado UML en StarUML. Secciones 3 a 8.</w:t>
      </w:r>
    </w:p>
    <w:p>
      <w:r>
        <w:rPr>
          <w:b w:val="0"/>
          <w:sz w:val="16"/>
        </w:rPr>
        <w:t>Object Management Group. UML 2.5.1. Capítulo 14 State Machines. https://www.omg.org/spec/UML/2.5.1</w:t>
      </w:r>
    </w:p>
    <w:p>
      <w:r>
        <w:rPr>
          <w:b w:val="0"/>
          <w:sz w:val="16"/>
        </w:rPr>
        <w:t>StarUML. Documentación oficial y CLI. https://docs.staruml.io/user-guide/cli-command-line-interface</w:t>
      </w:r>
    </w:p>
    <w:p>
      <w:r>
        <w:rPr>
          <w:b w:val="0"/>
          <w:sz w:val="16"/>
        </w:rPr>
        <w:t>Gamma, Helm, Johnson y Vlissides. Design Patterns. Addison Wesley, 1994. Patrón State.</w:t>
      </w:r>
    </w:p>
    <w:sectPr w:rsidR="00FC693F" w:rsidRPr="0006063C" w:rsidSect="00034616">
      <w:footerReference w:type="default" r:id="rId44"/>
      <w:pgSz w:w="12240" w:h="15840"/>
      <w:pgMar w:top="1008" w:right="1080" w:bottom="1008" w:left="1080"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2.png"/><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image" Target="media/image3.png"/><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4.png"/><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image" Target="media/image5.png"/><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image" Target="media/image6.png"/><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image" Target="media/image7.png"/><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image" Target="media/image8.png"/><Relationship Id="rId34" Type="http://schemas.openxmlformats.org/officeDocument/2006/relationships/footer" Target="footer18.xml"/><Relationship Id="rId35" Type="http://schemas.openxmlformats.org/officeDocument/2006/relationships/footer" Target="footer19.xml"/><Relationship Id="rId36" Type="http://schemas.openxmlformats.org/officeDocument/2006/relationships/image" Target="media/image9.png"/><Relationship Id="rId37" Type="http://schemas.openxmlformats.org/officeDocument/2006/relationships/footer" Target="footer20.xml"/><Relationship Id="rId38" Type="http://schemas.openxmlformats.org/officeDocument/2006/relationships/footer" Target="footer21.xml"/><Relationship Id="rId39" Type="http://schemas.openxmlformats.org/officeDocument/2006/relationships/image" Target="media/image10.png"/><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image" Target="media/image11.png"/><Relationship Id="rId44"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estados de LogiFlow 360</dc:title>
  <dc:subject>Modelado dinámico UML y propuesta de implementación</dc:subject>
  <dc:creator>Equipo 04</dc:creator>
  <cp:keywords/>
  <dc:description>generated by python-docx</dc:description>
  <cp:lastModifiedBy/>
  <cp:revision>1</cp:revision>
  <dcterms:created xsi:type="dcterms:W3CDTF">2013-12-23T23:15:00Z</dcterms:created>
  <dcterms:modified xsi:type="dcterms:W3CDTF">2013-12-23T23:15:00Z</dcterms:modified>
  <cp:category/>
</cp:coreProperties>
</file>