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6B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RAPPORT D'ANALYSE BUSINESS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A6B6B"/>
          <w:sz w:val="22"/>
          <w:szCs w:val="22"/>
        </w:rPr>
        <w:t xml:space="preserve">Customer Churn — Observations &amp; Recommandations Stratégiques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Fernand Kissira SOHOU  •  Mai 2025  •  Projet Portfolio Analytics</w:t>
      </w:r>
    </w:p>
    <w:p>
      <w:pPr>
        <w:pBdr>
          <w:bottom w:val="single" w:color="1A6B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1. CONTEXTE &amp; OBJECTIF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Dans un contexte e-commerce hautement concurrentiel, la rétention client représente un levier de croissance stratégique. Acquérir un nouveau client coûte en moyenne 5 fois plus cher que de fidéliser un client existant.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Ce rapport présente les observations issues d'une analyse prédictive du churn sur 5 630 clients, et formule des recommandations actionnables classées par priorité et horizon temporel.</w:t>
      </w:r>
    </w:p>
    <w:p>
      <w:pPr>
        <w:pBdr>
          <w:bottom w:val="single" w:color="1A6B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2. OBSERVATIONS CLÉS — RÉSULTATS SHAP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Les variables suivantes ont été identifiées comme les principaux déterminants du churn, par ordre d'importance 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Observation 1 — Tenure (Ancienneté)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Les clients avec une ancienneté faible (&lt; 3 mois) churent significativement plus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Médiane tenure churners : ~3 mois vs ~10 mois pour les clients fidèles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Signal SHAP le plus fort du modèle — variable #1 en importance prédictive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Observation 2 — Réclamations (Complain)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 client ayant déposé une réclamation le mois dernier a une probabilité de churn significativement plus élevée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Variable surprise — non anticipée dans l'analyse exploratoire initiale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Indique que la résolution des réclamations est insuffisante ou trop lente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Observation 3 — Inactivité Récente (DaySinceLastOrder)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Plus le nombre de jours depuis la dernière commande est élevé, plus le risque de churn est fort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Comportement classique de désengagement progressif avant abandon définitif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Observation 4 — Cashback &amp; Fidélisation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Les clients recevant peu de cashback churent davantage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 cashback agit comme un mécanisme de rétention — mais son effet est progressif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Observation 5 — Statut Marital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Les clients célibataires (MaritalStatus_Single) montrent un taux de churn plus élevé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Hypothèse : habitudes d'achat moins régulières, plus de volatilité comportementale</w:t>
      </w:r>
    </w:p>
    <w:p>
      <w:pPr>
        <w:pBdr>
          <w:bottom w:val="single" w:color="1A6B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3. RECOMMANDATIONS STRATÉGIQUES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Tableau de bord des recommandations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Tenure faible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Programme d'onboarding : coupons de bienvenue progressifs + bon cadeau au 3ème mois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Court terme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Réclamations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SLA de résolution &lt; 24h + suivi satisfaction post-réclamation automatisé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Court terme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Inactivité récente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Trigger email/notification après 7 jours sans commande avec offre personnalisée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Court terme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Cashback faible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Cashback progressif : petit % par achat qui augmente avec la fidélité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Moyen terme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Clients célibataires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Offres flash et promotions événementielles ciblées (soldes, occasions spéciales)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Long terme</w:t>
            </w:r>
          </w:p>
        </w:tc>
      </w:tr>
    </w:tbl>
    <w:p>
      <w:pPr>
        <w:pBdr>
          <w:bottom w:val="single" w:color="1A6B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4. DÉTAIL DES RECOMMANDATIONS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R1 — Programme d'Onboarding (Court terme)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Offrir une réduction de 10% sur la 2ème commande pour ancrer le comportement d'achat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Bon cadeau symbolique au 3ème mois pour franchir le seuil critique d'ancienneté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 de bienvenue personnalisé avec recommandations basées sur la 1ère commande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R2 — Gestion des Réclamations (Court terme)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Mettre en place un SLA de résolution de réclamation sous 24h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Enquête de satisfaction automatique 48h après fermeture du ticket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Geste commercial systématique (coupon) pour les réclamations légitimes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R3 — Réactivation des Clients Inactifs (Court terme)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Trigger automatique : si aucune commande depuis 7 jours → notification push/email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Offre de réactivation personnalisée basée sur l'historique d'achat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Escalade : si inactivité &gt; 21 jours → offre plus agressive avec cashback bonifié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6B"/>
          <w:sz w:val="21"/>
          <w:szCs w:val="21"/>
        </w:rPr>
        <w:t xml:space="preserve">R4 — Programme Cashback Progressif (Moyen terme)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1 : 2% de cashback sur chaque achat pour tous les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 2 : augmentation progressive (3%, 5%) selon l'ancienneté et la fréquence d'achat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Plafond de cashback pour protéger les marges — ex. max 500 DH/mois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Logique : petites réductions fréquentes &gt; grosse remise ponctuelle pour la fidélisation</w:t>
      </w:r>
    </w:p>
    <w:p>
      <w:pPr>
        <w:pBdr>
          <w:bottom w:val="single" w:color="1A6B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6B6B"/>
          <w:sz w:val="26"/>
          <w:szCs w:val="26"/>
        </w:rPr>
        <w:t xml:space="preserve">5. CONCLUSION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 modèle de prédiction atteint un F1-Score de 0.87 sur la classe churn avec une stabilité remarquable (std = 0.026 sur 5 folds), confirmant la fiabilité des insights présentés dans ce rapport.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Les recommandations prioritaires sont R1 (onboarding) et R2 (réclamations) — elles adressent les deux signaux les plus forts du modèle avec un investissement minimal et un impact immédiat mesurable.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6B"/>
          <w:sz w:val="20"/>
          <w:szCs w:val="20"/>
        </w:rPr>
        <w:t xml:space="preserve">Prochaine étape recommandée 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Déployer un pipeline de scoring mensuel pour identifier automatiquement les clients à risque et déclencher les actions de rétention ciblées.</w:t>
      </w:r>
    </w:p>
    <w:p>
      <w:pPr>
        <w:pBdr>
          <w:top w:val="single" w:color="1A6B6B" w:sz="4" w:space="4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Fernand Kissira SOHOU  •  github.com/FernandDevCode  •  fernandkissiras@gmail.com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2026-05-06T11:04:10.519Z</dcterms:created>
  <dcterms:modified xsi:type="dcterms:W3CDTF">2026-05-06T11:04:10.535Z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