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Pasar de los fondos estatales a la </w:t>
      </w:r>
      <w:r w:rsidDel="00000000" w:rsidR="00000000" w:rsidRPr="00000000">
        <w:rPr>
          <w:rFonts w:ascii="Google Sans" w:cs="Google Sans" w:eastAsia="Google Sans" w:hAnsi="Google Sans"/>
          <w:b w:val="1"/>
          <w:bCs w:val="1"/>
          <w:color w:val="1f1f1f"/>
          <w:rtl w:val="0"/>
        </w:rPr>
        <w:t xml:space="preserve">Innovación Abierta</w:t>
      </w:r>
      <w:r w:rsidDel="00000000" w:rsidR="00000000" w:rsidRPr="00000000">
        <w:rPr>
          <w:rFonts w:ascii="Google Sans" w:cs="Google Sans" w:eastAsia="Google Sans" w:hAnsi="Google Sans"/>
          <w:color w:val="1f1f1f"/>
          <w:rtl w:val="0"/>
        </w:rPr>
        <w:t xml:space="preserve"> corporativa es un movimiento estratégico clave. En este ecosistema, las grandes empresas no buscan investigación básica, sino tecnologías que puedan integrarse a sus operaciones mediante contratos de pilotaje financiados (venture client).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Aquí tienes el radar de desafíos de empresas e industrias que están buscando soluciones tecnológicas activamente ahora mismo (marzo de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Desafío "Despega al Futuro" (FIDAE, FACh y La Araucana) 🛫</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 Desafío:</w:t>
      </w:r>
      <w:r w:rsidDel="00000000" w:rsidR="00000000" w:rsidRPr="00000000">
        <w:rPr>
          <w:rFonts w:ascii="Google Sans" w:cs="Google Sans" w:eastAsia="Google Sans" w:hAnsi="Google Sans"/>
          <w:color w:val="1f1f1f"/>
          <w:rtl w:val="0"/>
        </w:rPr>
        <w:t xml:space="preserve"> Buscan startups tecnológicas que trabajen con datos satelitales, Inteligencia Artificial e inteligencia geoespacial para aplicaciones en la industria aeroespacial y de defensa.</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 Calce Tecnológico:</w:t>
      </w:r>
      <w:r w:rsidDel="00000000" w:rsidR="00000000" w:rsidRPr="00000000">
        <w:rPr>
          <w:rFonts w:ascii="Google Sans" w:cs="Google Sans" w:eastAsia="Google Sans" w:hAnsi="Google Sans"/>
          <w:color w:val="1f1f1f"/>
          <w:rtl w:val="0"/>
        </w:rPr>
        <w:t xml:space="preserve"> Es la plataforma perfecta para introducir algoritmos de análisis de imágenes (como los utilizados en el procesamiento de datos astronómicos) o sistemas de control y navegación para vehículos aéreos no tripulados como DroneTry.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Cierre de postulación:</w:t>
      </w:r>
      <w:r w:rsidDel="00000000" w:rsidR="00000000" w:rsidRPr="00000000">
        <w:rPr>
          <w:rFonts w:ascii="Google Sans" w:cs="Google Sans" w:eastAsia="Google Sans" w:hAnsi="Google Sans"/>
          <w:color w:val="1f1f1f"/>
          <w:rtl w:val="0"/>
        </w:rPr>
        <w:t xml:space="preserve"> Viernes </w:t>
      </w:r>
      <w:r w:rsidDel="00000000" w:rsidR="00000000" w:rsidRPr="00000000">
        <w:rPr>
          <w:rFonts w:ascii="Google Sans" w:cs="Google Sans" w:eastAsia="Google Sans" w:hAnsi="Google Sans"/>
          <w:b w:val="1"/>
          <w:bCs w:val="1"/>
          <w:color w:val="1f1f1f"/>
          <w:rtl w:val="0"/>
        </w:rPr>
        <w:t xml:space="preserve">27 de marzo de 2026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 Beneficio:</w:t>
      </w:r>
      <w:r w:rsidDel="00000000" w:rsidR="00000000" w:rsidRPr="00000000">
        <w:rPr>
          <w:rFonts w:ascii="Google Sans" w:cs="Google Sans" w:eastAsia="Google Sans" w:hAnsi="Google Sans"/>
          <w:color w:val="1f1f1f"/>
          <w:rtl w:val="0"/>
        </w:rPr>
        <w:t xml:space="preserve"> Exposición y networking directo en la FIDAE 2026 (abril) frente a gigantes del sector como Embraer, además de recursos para validar la tecnología.</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Convocatoria de Soluciones Mineras (ENAMI y Hub APTA) ⛏️</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 Desafío:</w:t>
      </w:r>
      <w:r w:rsidDel="00000000" w:rsidR="00000000" w:rsidRPr="00000000">
        <w:rPr>
          <w:rFonts w:ascii="Google Sans" w:cs="Google Sans" w:eastAsia="Google Sans" w:hAnsi="Google Sans"/>
          <w:color w:val="1f1f1f"/>
          <w:rtl w:val="0"/>
        </w:rPr>
        <w:t xml:space="preserve"> La Empresa Nacional de Minería, en alianza con Hub APTA, busca emprendedores y centros de investigación que posean prototipos con una maduración tecnológica comprobada (igual o mayor a </w:t>
      </w:r>
      <w:r w:rsidDel="00000000" w:rsidR="00000000" w:rsidRPr="00000000">
        <w:rPr>
          <w:rFonts w:ascii="Google Sans" w:cs="Google Sans" w:eastAsia="Google Sans" w:hAnsi="Google Sans"/>
          <w:b w:val="1"/>
          <w:bCs w:val="1"/>
          <w:color w:val="1f1f1f"/>
          <w:rtl w:val="0"/>
        </w:rPr>
        <w:t xml:space="preserve">TRL 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 Calce Tecnológico:</w:t>
      </w:r>
      <w:r w:rsidDel="00000000" w:rsidR="00000000" w:rsidRPr="00000000">
        <w:rPr>
          <w:rFonts w:ascii="Google Sans" w:cs="Google Sans" w:eastAsia="Google Sans" w:hAnsi="Google Sans"/>
          <w:color w:val="1f1f1f"/>
          <w:rtl w:val="0"/>
        </w:rPr>
        <w:t xml:space="preserve"> Como Encargada de Transferencia Tecnológica, sabes que la minería es el cliente natural para la física aplicada. Es el espacio ideal para presentar tecnologías de telemetría de rocas (como las antenas TTE), sensores para entornos extremos o robótica.</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Estado:</w:t>
      </w:r>
      <w:r w:rsidDel="00000000" w:rsidR="00000000" w:rsidRPr="00000000">
        <w:rPr>
          <w:rFonts w:ascii="Google Sans" w:cs="Google Sans" w:eastAsia="Google Sans" w:hAnsi="Google Sans"/>
          <w:color w:val="1f1f1f"/>
          <w:rtl w:val="0"/>
        </w:rPr>
        <w:t xml:space="preserve"> Abierta (lanzada a fines de febrero de 2026).</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Desafíos en Minería y Transición Energética (ITL) 🔋</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 Desafío:</w:t>
      </w:r>
      <w:r w:rsidDel="00000000" w:rsidR="00000000" w:rsidRPr="00000000">
        <w:rPr>
          <w:rFonts w:ascii="Google Sans" w:cs="Google Sans" w:eastAsia="Google Sans" w:hAnsi="Google Sans"/>
          <w:color w:val="1f1f1f"/>
          <w:rtl w:val="0"/>
        </w:rPr>
        <w:t xml:space="preserve"> El Instituto de Tecnologías Limpias (ITL) mantiene ventanillas de innovación abierta enfocadas en la descarbonización, automatización de faenas y nuevos materiales.</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 Calce Tecnológico:</w:t>
      </w:r>
      <w:r w:rsidDel="00000000" w:rsidR="00000000" w:rsidRPr="00000000">
        <w:rPr>
          <w:rFonts w:ascii="Google Sans" w:cs="Google Sans" w:eastAsia="Google Sans" w:hAnsi="Google Sans"/>
          <w:color w:val="1f1f1f"/>
          <w:rtl w:val="0"/>
        </w:rPr>
        <w:t xml:space="preserve"> Proyectos de hardware profundo, eficiencia energética o software de gestión técnica e IP (como la estructura de tu proyecto FyT01) pueden perfilarse aquí como soluciones para optimizar la cadena de valor de las grandes mineras del norte.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Estado:</w:t>
      </w:r>
      <w:r w:rsidDel="00000000" w:rsidR="00000000" w:rsidRPr="00000000">
        <w:rPr>
          <w:rFonts w:ascii="Google Sans" w:cs="Google Sans" w:eastAsia="Google Sans" w:hAnsi="Google Sans"/>
          <w:color w:val="1f1f1f"/>
          <w:rtl w:val="0"/>
        </w:rPr>
        <w:t xml:space="preserve"> Convocatorias activas durante este semestre.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 El enfoque táctico para postular: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las corporaciones les interesa la tracción y la viabilidad comercial, no la cantidad de </w:t>
      </w:r>
      <w:r w:rsidDel="00000000" w:rsidR="00000000" w:rsidRPr="00000000">
        <w:rPr>
          <w:rFonts w:ascii="Google Sans" w:cs="Google Sans" w:eastAsia="Google Sans" w:hAnsi="Google Sans"/>
          <w:i w:val="1"/>
          <w:iCs w:val="1"/>
          <w:color w:val="1f1f1f"/>
          <w:rtl w:val="0"/>
        </w:rPr>
        <w:t xml:space="preserve">papers</w:t>
      </w:r>
      <w:r w:rsidDel="00000000" w:rsidR="00000000" w:rsidRPr="00000000">
        <w:rPr>
          <w:rFonts w:ascii="Google Sans" w:cs="Google Sans" w:eastAsia="Google Sans" w:hAnsi="Google Sans"/>
          <w:color w:val="1f1f1f"/>
          <w:rtl w:val="0"/>
        </w:rPr>
        <w:t xml:space="preserve"> publicados. Si vas a armar equipos en el CATA o presentar desarrollos propios, el foco del </w:t>
      </w:r>
      <w:r w:rsidDel="00000000" w:rsidR="00000000" w:rsidRPr="00000000">
        <w:rPr>
          <w:rFonts w:ascii="Google Sans" w:cs="Google Sans" w:eastAsia="Google Sans" w:hAnsi="Google Sans"/>
          <w:i w:val="1"/>
          <w:iCs w:val="1"/>
          <w:color w:val="1f1f1f"/>
          <w:rtl w:val="0"/>
        </w:rPr>
        <w:t xml:space="preserve">pitch</w:t>
      </w:r>
      <w:r w:rsidDel="00000000" w:rsidR="00000000" w:rsidRPr="00000000">
        <w:rPr>
          <w:rFonts w:ascii="Google Sans" w:cs="Google Sans" w:eastAsia="Google Sans" w:hAnsi="Google Sans"/>
          <w:color w:val="1f1f1f"/>
          <w:rtl w:val="0"/>
        </w:rPr>
        <w:t xml:space="preserve"> debe ser cuánto dinero o tiempo le ahorra tu tecnología a la empresa. Además, es vital blindar la invención: siempre ten firmados los Acuerdos de Confidencialidad (NDA) antes de revelar la arquitectura técnica exacta de la solución.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 gustaría que analicemos en detalle qué se necesita para postular al desafío aeroespacial de la FIDAE y cómo estructurar el modelo de negocio para esa presentación?</w:t>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