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3CE8" w:rsidRDefault="00F83CE8" w:rsidP="0094761D">
      <w:pPr>
        <w:pStyle w:val="Ttulo1"/>
        <w:spacing w:before="0" w:line="240" w:lineRule="auto"/>
      </w:pPr>
      <w:r w:rsidRPr="00F83CE8">
        <w:rPr>
          <w:caps w:val="0"/>
        </w:rPr>
        <w:t>Técnicas de detecção de outlier</w:t>
      </w:r>
    </w:p>
    <w:p w:rsidR="0085150E" w:rsidRPr="0085150E" w:rsidRDefault="0085150E" w:rsidP="0094761D">
      <w:pPr>
        <w:pStyle w:val="Ttulo2"/>
        <w:spacing w:before="0" w:line="240" w:lineRule="auto"/>
      </w:pPr>
      <w:r w:rsidRPr="0085150E">
        <w:rPr>
          <w:caps w:val="0"/>
        </w:rPr>
        <w:t>Introdução</w:t>
      </w:r>
    </w:p>
    <w:p w:rsidR="00683302" w:rsidRPr="0094761D" w:rsidRDefault="00683302" w:rsidP="0094761D">
      <w:pPr>
        <w:spacing w:before="0" w:after="0" w:line="240" w:lineRule="auto"/>
        <w:jc w:val="center"/>
        <w:rPr>
          <w:rFonts w:ascii="Calibri" w:eastAsia="Times New Roman" w:hAnsi="Calibri" w:cs="Times New Roman"/>
          <w:b/>
          <w:bCs/>
          <w:color w:val="000000"/>
          <w:lang w:val="pt-PT" w:eastAsia="pt-BR"/>
        </w:rPr>
      </w:pPr>
      <w:r w:rsidRPr="0094761D">
        <w:rPr>
          <w:rFonts w:ascii="Calibri" w:eastAsia="Times New Roman" w:hAnsi="Calibri" w:cs="Times New Roman"/>
          <w:b/>
          <w:bCs/>
          <w:color w:val="000000"/>
          <w:lang w:val="pt-PT" w:eastAsia="pt-BR"/>
        </w:rPr>
        <w:t>O que é um outlier?</w:t>
      </w:r>
    </w:p>
    <w:p w:rsidR="00683302" w:rsidRPr="00683302" w:rsidRDefault="00683302" w:rsidP="0094761D">
      <w:pPr>
        <w:spacing w:before="0" w:after="0" w:line="240" w:lineRule="auto"/>
        <w:jc w:val="both"/>
        <w:rPr>
          <w:rFonts w:ascii="Calibri" w:eastAsia="Times New Roman" w:hAnsi="Calibri" w:cs="Times New Roman"/>
          <w:color w:val="000000"/>
          <w:lang w:eastAsia="pt-BR"/>
        </w:rPr>
      </w:pPr>
      <w:r w:rsidRPr="00683302">
        <w:rPr>
          <w:rFonts w:ascii="Calibri" w:eastAsia="Times New Roman" w:hAnsi="Calibri" w:cs="Times New Roman"/>
          <w:b/>
          <w:bCs/>
          <w:color w:val="000000"/>
          <w:lang w:val="pt-PT" w:eastAsia="pt-BR"/>
        </w:rPr>
        <w:t>Definição de Hawkins [Hawkins 1980]:</w:t>
      </w:r>
    </w:p>
    <w:p w:rsidR="00683302" w:rsidRPr="00683302" w:rsidRDefault="00683302" w:rsidP="0094761D">
      <w:pPr>
        <w:spacing w:before="0" w:after="0" w:line="240" w:lineRule="auto"/>
        <w:jc w:val="both"/>
        <w:rPr>
          <w:rFonts w:ascii="Calibri" w:eastAsia="Times New Roman" w:hAnsi="Calibri" w:cs="Times New Roman"/>
          <w:color w:val="000000"/>
          <w:lang w:val="pt-PT" w:eastAsia="pt-BR"/>
        </w:rPr>
      </w:pPr>
      <w:r w:rsidRPr="00C663AB">
        <w:rPr>
          <w:rFonts w:ascii="Calibri" w:eastAsia="Times New Roman" w:hAnsi="Calibri" w:cs="Times New Roman"/>
          <w:color w:val="000000"/>
          <w:highlight w:val="yellow"/>
          <w:lang w:val="pt-PT" w:eastAsia="pt-BR"/>
        </w:rPr>
        <w:t>"Um outlier é uma observação que se desvia tanto das outras observações a ponto de levantar suspeitas de que foi gerado por um mecanismo diferente"</w:t>
      </w:r>
    </w:p>
    <w:p w:rsidR="00683302" w:rsidRPr="00683302" w:rsidRDefault="00683302" w:rsidP="0094761D">
      <w:pPr>
        <w:spacing w:before="0" w:after="0" w:line="240" w:lineRule="auto"/>
        <w:jc w:val="both"/>
        <w:rPr>
          <w:rFonts w:ascii="Calibri" w:eastAsia="Times New Roman" w:hAnsi="Calibri" w:cs="Times New Roman"/>
          <w:color w:val="000000"/>
          <w:lang w:eastAsia="pt-BR"/>
        </w:rPr>
      </w:pPr>
      <w:r w:rsidRPr="00683302">
        <w:rPr>
          <w:rFonts w:ascii="Calibri" w:eastAsia="Times New Roman" w:hAnsi="Calibri" w:cs="Times New Roman"/>
          <w:b/>
          <w:bCs/>
          <w:color w:val="000000"/>
          <w:lang w:val="pt-PT" w:eastAsia="pt-BR"/>
        </w:rPr>
        <w:t>Intuição baseada em estatísticas</w:t>
      </w:r>
    </w:p>
    <w:p w:rsidR="00683302" w:rsidRPr="00683302" w:rsidRDefault="00683302" w:rsidP="0094761D">
      <w:pPr>
        <w:spacing w:before="0" w:after="0" w:line="240" w:lineRule="auto"/>
        <w:ind w:left="720" w:hanging="360"/>
        <w:jc w:val="both"/>
        <w:rPr>
          <w:rFonts w:ascii="Calibri" w:eastAsia="Times New Roman" w:hAnsi="Calibri" w:cs="Times New Roman"/>
          <w:color w:val="000000"/>
          <w:lang w:eastAsia="pt-BR"/>
        </w:rPr>
      </w:pPr>
      <w:r w:rsidRPr="00683302">
        <w:rPr>
          <w:rFonts w:ascii="Symbol" w:eastAsia="Times New Roman" w:hAnsi="Symbol" w:cs="Times New Roman"/>
          <w:color w:val="000000"/>
          <w:lang w:eastAsia="pt-BR"/>
        </w:rPr>
        <w:t></w:t>
      </w:r>
      <w:r w:rsidRPr="00683302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683302">
        <w:rPr>
          <w:rFonts w:ascii="Calibri" w:eastAsia="Times New Roman" w:hAnsi="Calibri" w:cs="Times New Roman"/>
          <w:color w:val="000000"/>
          <w:lang w:val="pt-PT" w:eastAsia="pt-BR"/>
        </w:rPr>
        <w:t>Objetos de dados normais seguem um "mecanismo gerador", por exemplo, algum processo estatístico dado</w:t>
      </w:r>
    </w:p>
    <w:p w:rsidR="00683302" w:rsidRPr="00683302" w:rsidRDefault="00683302" w:rsidP="0094761D">
      <w:pPr>
        <w:spacing w:before="0" w:after="0" w:line="240" w:lineRule="auto"/>
        <w:ind w:left="720" w:hanging="360"/>
        <w:jc w:val="both"/>
        <w:rPr>
          <w:rFonts w:ascii="Calibri" w:eastAsia="Times New Roman" w:hAnsi="Calibri" w:cs="Times New Roman"/>
          <w:color w:val="000000"/>
          <w:lang w:eastAsia="pt-BR"/>
        </w:rPr>
      </w:pPr>
      <w:r w:rsidRPr="00683302">
        <w:rPr>
          <w:rFonts w:ascii="Symbol" w:eastAsia="Times New Roman" w:hAnsi="Symbol" w:cs="Times New Roman"/>
          <w:color w:val="000000"/>
          <w:lang w:eastAsia="pt-BR"/>
        </w:rPr>
        <w:t></w:t>
      </w:r>
      <w:r w:rsidRPr="00683302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683302">
        <w:rPr>
          <w:rFonts w:ascii="Calibri" w:eastAsia="Times New Roman" w:hAnsi="Calibri" w:cs="Times New Roman"/>
          <w:color w:val="000000"/>
          <w:lang w:val="pt-PT" w:eastAsia="pt-BR"/>
        </w:rPr>
        <w:t>Objetos anormais desviam-se desse mecanismo gerador</w:t>
      </w:r>
    </w:p>
    <w:p w:rsidR="00683302" w:rsidRPr="00683302" w:rsidRDefault="00683302" w:rsidP="0094761D">
      <w:pPr>
        <w:spacing w:before="0" w:after="0" w:line="240" w:lineRule="auto"/>
        <w:jc w:val="both"/>
        <w:rPr>
          <w:rFonts w:ascii="Calibri" w:eastAsia="Times New Roman" w:hAnsi="Calibri" w:cs="Times New Roman"/>
          <w:color w:val="000000"/>
          <w:lang w:val="pt-PT" w:eastAsia="pt-BR"/>
        </w:rPr>
      </w:pPr>
      <w:r w:rsidRPr="00683302">
        <w:rPr>
          <w:rFonts w:ascii="Calibri" w:eastAsia="Times New Roman" w:hAnsi="Calibri" w:cs="Times New Roman"/>
          <w:color w:val="000000"/>
          <w:lang w:val="pt-PT" w:eastAsia="pt-BR"/>
        </w:rPr>
        <w:t>Exemplo: Hadlum vs. Hadlum (1949) [Barnett 1978]</w:t>
      </w:r>
    </w:p>
    <w:p w:rsidR="00683302" w:rsidRPr="00683302" w:rsidRDefault="00683302" w:rsidP="0094761D">
      <w:pPr>
        <w:spacing w:before="0" w:after="0" w:line="240" w:lineRule="auto"/>
        <w:ind w:left="1440" w:hanging="360"/>
        <w:jc w:val="both"/>
        <w:rPr>
          <w:rFonts w:ascii="Calibri" w:eastAsia="Times New Roman" w:hAnsi="Calibri" w:cs="Times New Roman"/>
          <w:color w:val="000000"/>
          <w:lang w:val="pt-PT" w:eastAsia="pt-BR"/>
        </w:rPr>
      </w:pPr>
      <w:r w:rsidRPr="00683302">
        <w:rPr>
          <w:rFonts w:ascii="Calibri" w:eastAsia="Times New Roman" w:hAnsi="Calibri" w:cs="Times New Roman"/>
          <w:color w:val="000000"/>
          <w:lang w:val="pt-PT" w:eastAsia="pt-BR"/>
        </w:rPr>
        <w:t>•</w:t>
      </w:r>
      <w:r w:rsidRPr="00683302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683302">
        <w:rPr>
          <w:rFonts w:ascii="Calibri" w:eastAsia="Times New Roman" w:hAnsi="Calibri" w:cs="Times New Roman"/>
          <w:color w:val="000000"/>
          <w:lang w:val="pt-PT" w:eastAsia="pt-BR"/>
        </w:rPr>
        <w:t>O nascimento de um filho da Sra. Hadlum aconteceu 349 dias depois que o Sr. Hadlum partiu para o serviço militar.</w:t>
      </w:r>
    </w:p>
    <w:p w:rsidR="00683302" w:rsidRPr="00683302" w:rsidRDefault="00683302" w:rsidP="0094761D">
      <w:pPr>
        <w:spacing w:before="0" w:after="0" w:line="240" w:lineRule="auto"/>
        <w:ind w:left="1440" w:hanging="360"/>
        <w:jc w:val="both"/>
        <w:rPr>
          <w:rFonts w:ascii="Calibri" w:eastAsia="Times New Roman" w:hAnsi="Calibri" w:cs="Times New Roman"/>
          <w:color w:val="000000"/>
          <w:lang w:val="pt-PT" w:eastAsia="pt-BR"/>
        </w:rPr>
      </w:pPr>
      <w:r w:rsidRPr="00683302">
        <w:rPr>
          <w:rFonts w:ascii="Calibri" w:eastAsia="Times New Roman" w:hAnsi="Calibri" w:cs="Times New Roman"/>
          <w:color w:val="000000"/>
          <w:lang w:val="pt-PT" w:eastAsia="pt-BR"/>
        </w:rPr>
        <w:t>•</w:t>
      </w:r>
      <w:r w:rsidRPr="00683302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683302">
        <w:rPr>
          <w:rFonts w:ascii="Calibri" w:eastAsia="Times New Roman" w:hAnsi="Calibri" w:cs="Times New Roman"/>
          <w:color w:val="000000"/>
          <w:lang w:val="pt-PT" w:eastAsia="pt-BR"/>
        </w:rPr>
        <w:t>O período médio de gestação humana é de 280 dias (40 semanas).</w:t>
      </w:r>
    </w:p>
    <w:p w:rsidR="00683302" w:rsidRPr="00683302" w:rsidRDefault="00683302" w:rsidP="0094761D">
      <w:pPr>
        <w:spacing w:before="0" w:after="0" w:line="240" w:lineRule="auto"/>
        <w:ind w:left="1440" w:hanging="360"/>
        <w:jc w:val="both"/>
        <w:rPr>
          <w:rFonts w:ascii="Calibri" w:eastAsia="Times New Roman" w:hAnsi="Calibri" w:cs="Times New Roman"/>
          <w:color w:val="000000"/>
          <w:lang w:val="pt-PT" w:eastAsia="pt-BR"/>
        </w:rPr>
      </w:pPr>
      <w:r w:rsidRPr="00683302">
        <w:rPr>
          <w:rFonts w:ascii="Calibri" w:eastAsia="Times New Roman" w:hAnsi="Calibri" w:cs="Times New Roman"/>
          <w:color w:val="000000"/>
          <w:lang w:val="pt-PT" w:eastAsia="pt-BR"/>
        </w:rPr>
        <w:t>• Estatisticamente, 349 dias é um ponto fora da curva.</w:t>
      </w:r>
    </w:p>
    <w:p w:rsidR="00071CB1" w:rsidRDefault="00071CB1" w:rsidP="0094761D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412B24B7" wp14:editId="69A22ABD">
            <wp:extent cx="3199130" cy="2770649"/>
            <wp:effectExtent l="57150" t="57150" r="58420" b="4889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7861" cy="277821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3302" w:rsidRPr="00683302" w:rsidRDefault="00683302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r w:rsidRPr="00683302">
        <w:rPr>
          <w:rFonts w:ascii="Symbol" w:eastAsia="Times New Roman" w:hAnsi="Symbol" w:cs="Times New Roman"/>
          <w:color w:val="000000"/>
          <w:lang w:eastAsia="pt-BR"/>
        </w:rPr>
        <w:t></w:t>
      </w:r>
      <w:r w:rsidRPr="00683302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683302">
        <w:rPr>
          <w:rFonts w:ascii="Calibri" w:eastAsia="Times New Roman" w:hAnsi="Calibri" w:cs="Times New Roman"/>
          <w:color w:val="000000"/>
          <w:lang w:val="pt-PT" w:eastAsia="pt-BR"/>
        </w:rPr>
        <w:t>azul: base estatística (13634 observações dos períodos de gestação)</w:t>
      </w:r>
    </w:p>
    <w:p w:rsidR="00683302" w:rsidRPr="00683302" w:rsidRDefault="00683302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r w:rsidRPr="00683302">
        <w:rPr>
          <w:rFonts w:ascii="Symbol" w:eastAsia="Times New Roman" w:hAnsi="Symbol" w:cs="Times New Roman"/>
          <w:color w:val="000000"/>
          <w:lang w:eastAsia="pt-BR"/>
        </w:rPr>
        <w:t></w:t>
      </w:r>
      <w:r w:rsidRPr="00683302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683302">
        <w:rPr>
          <w:rFonts w:ascii="Calibri" w:eastAsia="Times New Roman" w:hAnsi="Calibri" w:cs="Times New Roman"/>
          <w:color w:val="000000"/>
          <w:lang w:val="pt-PT" w:eastAsia="pt-BR"/>
        </w:rPr>
        <w:t>verde: suposta subjacente ao processo gaussiano</w:t>
      </w:r>
    </w:p>
    <w:p w:rsidR="00683302" w:rsidRPr="00683302" w:rsidRDefault="00683302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eastAsia="pt-BR"/>
        </w:rPr>
      </w:pPr>
      <w:r w:rsidRPr="00683302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683302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683302">
        <w:rPr>
          <w:rFonts w:ascii="Calibri" w:eastAsia="Times New Roman" w:hAnsi="Calibri" w:cs="Times New Roman"/>
          <w:color w:val="000000"/>
          <w:lang w:val="pt-PT" w:eastAsia="pt-BR"/>
        </w:rPr>
        <w:t>Baixíssima probabilidade do nascimento da Sra. Hadlums ser gerada por esse processo</w:t>
      </w:r>
    </w:p>
    <w:p w:rsidR="00683302" w:rsidRPr="00683302" w:rsidRDefault="00683302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r w:rsidRPr="00683302">
        <w:rPr>
          <w:rFonts w:ascii="Symbol" w:eastAsia="Times New Roman" w:hAnsi="Symbol" w:cs="Times New Roman"/>
          <w:color w:val="000000"/>
          <w:lang w:eastAsia="pt-BR"/>
        </w:rPr>
        <w:t></w:t>
      </w:r>
      <w:r w:rsidRPr="00683302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683302">
        <w:rPr>
          <w:rFonts w:ascii="Calibri" w:eastAsia="Times New Roman" w:hAnsi="Calibri" w:cs="Times New Roman"/>
          <w:color w:val="000000"/>
          <w:lang w:val="pt-PT" w:eastAsia="pt-BR"/>
        </w:rPr>
        <w:t>vermelho: assunção do Sr. Hadlum (outro processo gaussiano responsável pelo parto observado, onde o período de gestação responsável)</w:t>
      </w:r>
    </w:p>
    <w:p w:rsidR="00683302" w:rsidRPr="00683302" w:rsidRDefault="00683302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eastAsia="pt-BR"/>
        </w:rPr>
      </w:pPr>
      <w:r w:rsidRPr="00683302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683302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683302">
        <w:rPr>
          <w:rFonts w:ascii="Calibri" w:eastAsia="Times New Roman" w:hAnsi="Calibri" w:cs="Times New Roman"/>
          <w:color w:val="000000"/>
          <w:lang w:val="pt-PT" w:eastAsia="pt-BR"/>
        </w:rPr>
        <w:t>Sob esse pressuposto, o período de gestação tem duração média e maior probabilidade possível</w:t>
      </w:r>
    </w:p>
    <w:p w:rsidR="00071CB1" w:rsidRDefault="00071CB1" w:rsidP="0094761D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495E8AA5" wp14:editId="5C122910">
            <wp:extent cx="2895600" cy="2668282"/>
            <wp:effectExtent l="57150" t="57150" r="57150" b="558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785" cy="2677667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Aplicações de exemplo de detecção de outliers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Detecção de fraudes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comportamento de compra do titular de um cartão de crédito geralmente muda quando o cartão é roubado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Padrões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de compra anormais podem caracterizar abuso de cartão de crédito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Medicina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Sintomas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incomuns ou resultados de testes podem indicar possíveis problemas de saúde de um paciente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lastRenderedPageBreak/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Se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um determinado resultado de teste é anormal pode depender de outras características dos pacientes (por exemplo, sexo, idade, ...)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Saúde pública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ocorrência de uma determinada doença, por exemplo, tétano, espalhada por vários hospitais de uma cidade indica problemas com o programa de vacinação correspondente naquela cidade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Se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uma ocorrência é anormal depende de diferentes aspectos como frequência, correlação espacial, etc.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Estatísticas esportivas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Em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muitos esportes, vários parâmetros são registrados para os jogadores, a fim de avaliar o desempenho dos jogadores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Jogadores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proeminentes (tanto no sentido positivo quanto negativo) podem ser identificados como tendo valores de parâmetros anormais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Às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vezes, os jogadores mostram valores anormais apenas em um subconjunto ou uma combinação especial dos parâmetros gravados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Detecção de erros de medição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Os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dados derivados de sensores (por exemplo, numa determinada experiência científica) podem conter erros de medição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Valores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anormais podem fornecer uma indicação de um erro de medição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remoção desses erros pode ser importante em outras tarefas de mineração e análise de dados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"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 barulho de uma pessoa pode ser o sinal de outra."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Symbol" w:eastAsia="Times New Roman" w:hAnsi="Symbol" w:cs="Times New Roman"/>
          <w:color w:val="000000"/>
          <w:lang w:eastAsia="pt-BR"/>
        </w:rPr>
        <w:t>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Discussão da intuição básica baseada em Hawkins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Os dados são geralmente multivariados, ou seja, multidimensionais =&gt; modelo básico é univariado, ou seja, 1-dimensional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Geralmente há mais de um mecanismo gerador/processo estatístico subjacente aos dados =&gt; modelo básico pressupõe apenas um mecanismo gerador "normal"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Anomalias podem representar uma classe diferente (mecanismo gerador) de objetos, então pode haver uma grande classe de objetos semelhantes que são os outliers =&gt; modelo básico assume que outliers são observações raras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Symbol" w:eastAsia="Times New Roman" w:hAnsi="Symbol" w:cs="Times New Roman"/>
          <w:color w:val="000000"/>
          <w:lang w:eastAsia="pt-BR"/>
        </w:rPr>
        <w:t>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Consequência: muitos modelos e abordagens evoluíram nos últimos anos para superar essas premissas e não é fácil acompanhar essa evolução.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Symbol" w:eastAsia="Times New Roman" w:hAnsi="Symbol" w:cs="Times New Roman"/>
          <w:color w:val="000000"/>
          <w:lang w:eastAsia="pt-BR"/>
        </w:rPr>
        <w:t>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Novos modelos geralmente envolvem suposições e restrições típicas, novas, embora geralmente ocultas.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Symbol" w:eastAsia="Times New Roman" w:hAnsi="Symbol" w:cs="Times New Roman"/>
          <w:color w:val="000000"/>
          <w:lang w:eastAsia="pt-BR"/>
        </w:rPr>
        <w:t>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Cenários gerais de aplicativos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Cenário supervisionado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Em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alguns aplicativos, dados de treinamento com objetos de dados normais e anormais são fornecidos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Pode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haver múltiplas classes normais e/ou anormais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Muitas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vezes, o problema de classificação é altamente desequilibrado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Cenário Semi-Supervisionado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Em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algumas aplicações, apenas os dados de treinamento para a(s) classe(s) normal(ais) (ou apenas a(s) classe(s) anormal(ais)) são fornecidos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Cenário não supervisionado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Na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maioria dos aplicativos, não há dados de treinamento disponíveis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Symbol" w:eastAsia="Times New Roman" w:hAnsi="Symbol" w:cs="Times New Roman"/>
          <w:color w:val="000000"/>
          <w:lang w:eastAsia="pt-BR"/>
        </w:rPr>
        <w:t>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Neste tutorial, nos concentramos no cenário não supervisionado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Symbol" w:eastAsia="Times New Roman" w:hAnsi="Symbol" w:cs="Times New Roman"/>
          <w:color w:val="000000"/>
          <w:lang w:eastAsia="pt-BR"/>
        </w:rPr>
        <w:t>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Os outliers são apenas um produto secundário de alguns algoritmos de clustering?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Muitos algoritmos de clustering não atribuem todos os pontos aos clusters, mas contabilizam objetos de ruído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Procure por outliers aplicando um desses algoritmos e recupere o conjunto de ruído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 Problema: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Os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algoritmos de clustering são otimizados para encontrar clusters em vez de outliers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precisão da detecção de outliers depende de quão bom o algoritmo de agrupamento captura a estrutura dos clusters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Um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conjunto de muitos objetos de dados anormais que são semelhantes entre si seria reconhecido como um cluster em vez de como ruído/outliers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Symbol" w:eastAsia="Times New Roman" w:hAnsi="Symbol" w:cs="Times New Roman"/>
          <w:color w:val="000000"/>
          <w:lang w:eastAsia="pt-BR"/>
        </w:rPr>
        <w:t>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Focalizaremos três abordagens de classificação diferentes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Detecção de outlier global versus local (Considera o conjunto de objetos de referência em relação aos quais o "outlierness" de cada ponto é julgado)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 Rotulação versus pontuação de outliers (Considera a saída de um algoritmo)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 Propriedades de modelagem (Considera os conceitos com base nos quais o "outlierness" é modelado)</w:t>
      </w:r>
    </w:p>
    <w:p w:rsidR="0085150E" w:rsidRPr="0085150E" w:rsidRDefault="0085150E" w:rsidP="0094761D">
      <w:pPr>
        <w:spacing w:before="0" w:after="0" w:line="240" w:lineRule="auto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NOTA: nos concentramos em modelos e métodos para dados euclidianos, mas muitos deles também podem ser usados para outros tipos de dados (porque exigem apenas uma medida de distância)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Symbol" w:eastAsia="Times New Roman" w:hAnsi="Symbol" w:cs="Times New Roman"/>
          <w:color w:val="000000"/>
          <w:lang w:eastAsia="pt-BR"/>
        </w:rPr>
        <w:t>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Abordagens globais versus locais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 Considera a resolução do conjunto de referência w.r.t. que o "outlierness" de um determinado objeto de dados é determinado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Abordagens globais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conjunto de referência contém todos os outros objetos de dados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Pressuposto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básico: existe apenas um mecanismo normal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Problema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básico: outros outliers também estão no conjunto de referência e podem falsificar os resultados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lastRenderedPageBreak/>
        <w:t>•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Abordagens locais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referência contém um (pequeno) subconjunto de objetos de dados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Nenhuma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suposição sobre o número de mecanismos normais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Problema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básico: como escolher um conjunto de referência adequado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NOTA: Algumas abordagens são um pouco intermediárias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resolução do conjunto de referência é variada, por exemplo, de apenas um único objeto (usuário local) para todo o banco de dados (global) automaticamente ou por um parâmetro de entrada definido</w:t>
      </w:r>
      <w:r w:rsidRPr="0085150E">
        <w:rPr>
          <w:rFonts w:ascii="Calibri" w:eastAsia="Times New Roman" w:hAnsi="Calibri" w:cs="Times New Roman"/>
          <w:color w:val="000000"/>
          <w:sz w:val="28"/>
          <w:szCs w:val="28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pelo usuário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Symbol" w:eastAsia="Times New Roman" w:hAnsi="Symbol" w:cs="Times New Roman"/>
          <w:color w:val="000000"/>
          <w:lang w:eastAsia="pt-BR"/>
        </w:rPr>
        <w:t>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Rotulagem versus pontuação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 Considera a saída de um algoritmo de detecção de outlier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 Abordagens de rotulagem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Saída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binária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Os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objetos de dados são rotulados como normais ou discrepantes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 Abordagens de pontuação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Saída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contínua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Para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cada objeto, uma pontuação atípica é calculada (por exemplo, a probabilidade de ser um outlier)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Os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objetos de dados podem ser classificados de acordo com suas pontuações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Notas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Muitas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abordagens de pontuação se concentram em determinar os </w:t>
      </w:r>
      <w:r w:rsidRPr="0085150E">
        <w:rPr>
          <w:rFonts w:ascii="Calibri" w:eastAsia="Times New Roman" w:hAnsi="Calibri" w:cs="Times New Roman"/>
          <w:i/>
          <w:iCs/>
          <w:color w:val="000000"/>
          <w:lang w:val="pt-PT" w:eastAsia="pt-BR"/>
        </w:rPr>
        <w:t>outliers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top-n (o parâmetro </w:t>
      </w:r>
      <w:r w:rsidRPr="0085150E">
        <w:rPr>
          <w:rFonts w:ascii="Calibri" w:eastAsia="Times New Roman" w:hAnsi="Calibri" w:cs="Times New Roman"/>
          <w:i/>
          <w:iCs/>
          <w:color w:val="000000"/>
          <w:lang w:val="pt-PT" w:eastAsia="pt-BR"/>
        </w:rPr>
        <w:t>n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é geralmente dado pelo usuário)</w:t>
      </w:r>
    </w:p>
    <w:p w:rsidR="0085150E" w:rsidRPr="0085150E" w:rsidRDefault="0085150E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As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abordagens de pontuação geralmente também podem produzir saída binária, se necessário (por exemplo, definindo um limiar adequado nos valores de pontuação)</w:t>
      </w:r>
    </w:p>
    <w:p w:rsidR="0085150E" w:rsidRPr="0085150E" w:rsidRDefault="0085150E" w:rsidP="0094761D">
      <w:pPr>
        <w:spacing w:before="0" w:after="0" w:line="240" w:lineRule="auto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• Abordagens classificadas pelas propriedades da abordagem de modelagem subjacente</w:t>
      </w:r>
    </w:p>
    <w:p w:rsidR="0085150E" w:rsidRPr="0085150E" w:rsidRDefault="0085150E" w:rsidP="0094761D">
      <w:pPr>
        <w:spacing w:before="0" w:after="0" w:line="240" w:lineRule="auto"/>
        <w:ind w:left="1788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Abordagens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baseadas em modelos</w:t>
      </w:r>
    </w:p>
    <w:p w:rsidR="0085150E" w:rsidRPr="0085150E" w:rsidRDefault="0085150E" w:rsidP="0094761D">
      <w:pPr>
        <w:spacing w:before="0" w:after="0" w:line="240" w:lineRule="auto"/>
        <w:ind w:left="250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Symbol" w:eastAsia="Times New Roman" w:hAnsi="Symbol" w:cs="Times New Roman"/>
          <w:color w:val="000000"/>
          <w:lang w:eastAsia="pt-BR"/>
        </w:rPr>
        <w:t>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Racional</w:t>
      </w:r>
    </w:p>
    <w:p w:rsidR="0085150E" w:rsidRPr="0085150E" w:rsidRDefault="0085150E" w:rsidP="0094761D">
      <w:pPr>
        <w:spacing w:before="0" w:after="0" w:line="240" w:lineRule="auto"/>
        <w:ind w:left="322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Aplicar um modelo para representar pontos de dados normais</w:t>
      </w:r>
    </w:p>
    <w:p w:rsidR="0085150E" w:rsidRPr="0085150E" w:rsidRDefault="0085150E" w:rsidP="0094761D">
      <w:pPr>
        <w:spacing w:before="0" w:after="0" w:line="240" w:lineRule="auto"/>
        <w:ind w:left="322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Outliers são pontos que não se encaixam nesse modelo</w:t>
      </w:r>
    </w:p>
    <w:p w:rsidR="0085150E" w:rsidRPr="0085150E" w:rsidRDefault="0085150E" w:rsidP="0094761D">
      <w:pPr>
        <w:spacing w:before="0" w:after="0" w:line="240" w:lineRule="auto"/>
        <w:ind w:left="250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Symbol" w:eastAsia="Times New Roman" w:hAnsi="Symbol" w:cs="Times New Roman"/>
          <w:color w:val="000000"/>
          <w:lang w:eastAsia="pt-BR"/>
        </w:rPr>
        <w:t>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Exemplos de abordagens</w:t>
      </w:r>
    </w:p>
    <w:p w:rsidR="0085150E" w:rsidRPr="0085150E" w:rsidRDefault="0085150E" w:rsidP="0094761D">
      <w:pPr>
        <w:spacing w:before="0" w:after="0" w:line="240" w:lineRule="auto"/>
        <w:ind w:left="322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Testes probabilísticos baseados em modelos estatísticos</w:t>
      </w:r>
    </w:p>
    <w:p w:rsidR="0085150E" w:rsidRPr="0085150E" w:rsidRDefault="0085150E" w:rsidP="0094761D">
      <w:pPr>
        <w:spacing w:before="0" w:after="0" w:line="240" w:lineRule="auto"/>
        <w:ind w:left="322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Abordagens baseadas em profundidade</w:t>
      </w:r>
    </w:p>
    <w:p w:rsidR="0085150E" w:rsidRPr="0085150E" w:rsidRDefault="0085150E" w:rsidP="0094761D">
      <w:pPr>
        <w:spacing w:before="0" w:after="0" w:line="240" w:lineRule="auto"/>
        <w:ind w:left="322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Abordagens baseadas em desvios</w:t>
      </w:r>
    </w:p>
    <w:p w:rsidR="0085150E" w:rsidRPr="0085150E" w:rsidRDefault="0085150E" w:rsidP="0094761D">
      <w:pPr>
        <w:spacing w:before="0" w:after="0" w:line="240" w:lineRule="auto"/>
        <w:ind w:left="322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Algumas abordagens de detecção de outlier de subespaço</w:t>
      </w:r>
    </w:p>
    <w:p w:rsidR="0085150E" w:rsidRPr="0085150E" w:rsidRDefault="0085150E" w:rsidP="0094761D">
      <w:pPr>
        <w:spacing w:before="0" w:after="0" w:line="240" w:lineRule="auto"/>
        <w:ind w:left="1788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Abordagens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baseadas na proximidade</w:t>
      </w:r>
    </w:p>
    <w:p w:rsidR="0085150E" w:rsidRPr="0085150E" w:rsidRDefault="0085150E" w:rsidP="0094761D">
      <w:pPr>
        <w:spacing w:before="0" w:after="0" w:line="240" w:lineRule="auto"/>
        <w:ind w:left="250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Symbol" w:eastAsia="Times New Roman" w:hAnsi="Symbol" w:cs="Times New Roman"/>
          <w:color w:val="000000"/>
          <w:lang w:eastAsia="pt-BR"/>
        </w:rPr>
        <w:t>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Racional</w:t>
      </w:r>
    </w:p>
    <w:p w:rsidR="0085150E" w:rsidRPr="0085150E" w:rsidRDefault="0085150E" w:rsidP="0094761D">
      <w:pPr>
        <w:spacing w:before="0" w:after="0" w:line="240" w:lineRule="auto"/>
        <w:ind w:left="322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Examinar a proximidade espacial de cada objeto no espaço de dados</w:t>
      </w:r>
    </w:p>
    <w:p w:rsidR="0085150E" w:rsidRPr="0085150E" w:rsidRDefault="0085150E" w:rsidP="0094761D">
      <w:pPr>
        <w:spacing w:before="0" w:after="0" w:line="240" w:lineRule="auto"/>
        <w:ind w:left="322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Se a proximidade de um objeto se desvia consideravelmente da proximidade de outros objetos, é considerado um outlier</w:t>
      </w:r>
    </w:p>
    <w:p w:rsidR="0085150E" w:rsidRPr="0085150E" w:rsidRDefault="0085150E" w:rsidP="0094761D">
      <w:pPr>
        <w:spacing w:before="0" w:after="0" w:line="240" w:lineRule="auto"/>
        <w:ind w:left="250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Symbol" w:eastAsia="Times New Roman" w:hAnsi="Symbol" w:cs="Times New Roman"/>
          <w:color w:val="000000"/>
          <w:lang w:eastAsia="pt-BR"/>
        </w:rPr>
        <w:t>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Exemplos de abordagens</w:t>
      </w:r>
    </w:p>
    <w:p w:rsidR="0085150E" w:rsidRPr="0085150E" w:rsidRDefault="0085150E" w:rsidP="0094761D">
      <w:pPr>
        <w:spacing w:before="0" w:after="0" w:line="240" w:lineRule="auto"/>
        <w:ind w:left="322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Abordagens baseadas na distância</w:t>
      </w:r>
    </w:p>
    <w:p w:rsidR="0085150E" w:rsidRPr="0085150E" w:rsidRDefault="0085150E" w:rsidP="0094761D">
      <w:pPr>
        <w:spacing w:before="0" w:after="0" w:line="240" w:lineRule="auto"/>
        <w:ind w:left="322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Abordagens baseadas em densidade</w:t>
      </w:r>
    </w:p>
    <w:p w:rsidR="0085150E" w:rsidRPr="0085150E" w:rsidRDefault="0085150E" w:rsidP="0094761D">
      <w:pPr>
        <w:spacing w:before="0" w:after="0" w:line="240" w:lineRule="auto"/>
        <w:ind w:left="322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Algumas abordagens de detecção de outlier de subespaço</w:t>
      </w:r>
    </w:p>
    <w:p w:rsidR="0085150E" w:rsidRPr="0085150E" w:rsidRDefault="0085150E" w:rsidP="0094761D">
      <w:pPr>
        <w:spacing w:before="0" w:after="0" w:line="240" w:lineRule="auto"/>
        <w:ind w:left="1788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Abordagens</w:t>
      </w:r>
      <w:proofErr w:type="gramEnd"/>
      <w:r w:rsidRPr="0085150E">
        <w:rPr>
          <w:rFonts w:ascii="Calibri" w:eastAsia="Times New Roman" w:hAnsi="Calibri" w:cs="Times New Roman"/>
          <w:color w:val="000000"/>
          <w:lang w:val="pt-PT" w:eastAsia="pt-BR"/>
        </w:rPr>
        <w:t xml:space="preserve"> baseadas em ângulos</w:t>
      </w:r>
    </w:p>
    <w:p w:rsidR="0085150E" w:rsidRPr="0085150E" w:rsidRDefault="0085150E" w:rsidP="0094761D">
      <w:pPr>
        <w:spacing w:before="0" w:after="0" w:line="240" w:lineRule="auto"/>
        <w:ind w:left="250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Symbol" w:eastAsia="Times New Roman" w:hAnsi="Symbol" w:cs="Times New Roman"/>
          <w:color w:val="000000"/>
          <w:lang w:eastAsia="pt-BR"/>
        </w:rPr>
        <w:t>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Racional</w:t>
      </w:r>
    </w:p>
    <w:p w:rsidR="0085150E" w:rsidRPr="0085150E" w:rsidRDefault="0085150E" w:rsidP="0094761D">
      <w:pPr>
        <w:spacing w:before="0" w:after="0" w:line="240" w:lineRule="auto"/>
        <w:ind w:left="322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Examinar o espectro de ângulos pares entre um determinado ponto e todos os outros pontos</w:t>
      </w:r>
    </w:p>
    <w:p w:rsidR="0085150E" w:rsidRPr="0085150E" w:rsidRDefault="0085150E" w:rsidP="0094761D">
      <w:pPr>
        <w:spacing w:before="0" w:after="0" w:line="240" w:lineRule="auto"/>
        <w:ind w:left="3228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Outliers são pontos que possuem um espectro caracterizado por alta flutuação</w:t>
      </w:r>
    </w:p>
    <w:p w:rsidR="0085150E" w:rsidRPr="0085150E" w:rsidRDefault="0085150E" w:rsidP="0094761D">
      <w:pPr>
        <w:pStyle w:val="Ttulo2"/>
        <w:spacing w:before="0" w:line="240" w:lineRule="auto"/>
      </w:pPr>
      <w:r w:rsidRPr="0085150E">
        <w:rPr>
          <w:caps w:val="0"/>
        </w:rPr>
        <w:t>Testes estatísticos</w:t>
      </w:r>
    </w:p>
    <w:p w:rsidR="00767EFA" w:rsidRDefault="00767EFA" w:rsidP="0094761D">
      <w:pPr>
        <w:spacing w:before="0" w:after="0" w:line="240" w:lineRule="auto"/>
        <w:ind w:left="720" w:hanging="360"/>
        <w:rPr>
          <w:rFonts w:ascii="Wingdings" w:eastAsia="Times New Roman" w:hAnsi="Wingdings" w:cs="Times New Roman"/>
          <w:color w:val="000000"/>
          <w:lang w:eastAsia="pt-BR"/>
        </w:rPr>
      </w:pP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bookmarkStart w:id="0" w:name="_GoBack"/>
      <w:bookmarkEnd w:id="0"/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Ideia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geral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Dado um certo tipo de distribuição estatística (por exemplo, gaussiana)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Calcular os parâmetros assumindo que todos os pontos de dados foram gerados por tal distribuição estatística (por exemplo, média e desvio padrão)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Outliers são pontos que têm uma baixa probabilidade de serem gerados pela distribuição geral (por exemplo, desviar mais de 3 vezes o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 desvio padrão da média)</w:t>
      </w:r>
    </w:p>
    <w:p w:rsidR="0085150E" w:rsidRPr="0085150E" w:rsidRDefault="0085150E" w:rsidP="0094761D">
      <w:pPr>
        <w:spacing w:before="0" w:after="0" w:line="240" w:lineRule="auto"/>
        <w:ind w:left="144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alibri Light" w:eastAsia="Times New Roman" w:hAnsi="Calibri Light" w:cs="Times New Roman"/>
          <w:color w:val="000000"/>
          <w:lang w:eastAsia="pt-BR"/>
        </w:rPr>
        <w:t> 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Pressuposto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básico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Os objetos de dados normais seguem uma distribuição (conhecida) e ocorrem em uma região de alta probabilidade deste modelo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Outliers se desviam fortemente dessa distribuição</w:t>
      </w:r>
    </w:p>
    <w:p w:rsidR="0085150E" w:rsidRPr="0085150E" w:rsidRDefault="0085150E" w:rsidP="0094761D">
      <w:pPr>
        <w:spacing w:before="0" w:after="0" w:line="240" w:lineRule="auto"/>
        <w:ind w:left="144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alibri Light" w:eastAsia="Times New Roman" w:hAnsi="Calibri Light" w:cs="Times New Roman"/>
          <w:color w:val="000000"/>
          <w:lang w:eastAsia="pt-BR"/>
        </w:rPr>
        <w:t> 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Um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grande número de testes diferentes estão disponíveis diferindo em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Tipo de distribuição de dados (por exemplo, gaussiana)</w:t>
      </w:r>
    </w:p>
    <w:p w:rsidR="0085150E" w:rsidRPr="0085150E" w:rsidRDefault="0085150E" w:rsidP="00767EFA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F0F5F"/>
          <w:lang w:val="pt-PT" w:eastAsia="pt-BR"/>
        </w:rPr>
      </w:pPr>
      <w:r w:rsidRPr="0085150E">
        <w:rPr>
          <w:rFonts w:ascii="Courier New" w:eastAsia="Times New Roman" w:hAnsi="Courier New" w:cs="Courier New"/>
          <w:color w:val="0F0F5F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F0F5F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F0F5F"/>
          <w:lang w:val="pt-PT" w:eastAsia="pt-BR"/>
        </w:rPr>
        <w:t>Número de variáveis, ou seja, dimensões dos objetos de dados (univariada/multivariada)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lastRenderedPageBreak/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Número de distribuições (modelos de mistura)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Paramétrico versus não paramétrico (por exemplo, baseado em histograma)</w:t>
      </w:r>
    </w:p>
    <w:p w:rsidR="0085150E" w:rsidRPr="0085150E" w:rsidRDefault="0085150E" w:rsidP="0094761D">
      <w:pPr>
        <w:spacing w:before="0" w:after="0" w:line="240" w:lineRule="auto"/>
        <w:ind w:left="144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alibri Light" w:eastAsia="Times New Roman" w:hAnsi="Calibri Light" w:cs="Times New Roman"/>
          <w:color w:val="000000"/>
          <w:lang w:eastAsia="pt-BR"/>
        </w:rPr>
        <w:t> 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Exemplo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nos slides a seguir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Distribuição gaussiana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Multivariada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1 modelo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Paramétrico</w:t>
      </w:r>
    </w:p>
    <w:p w:rsidR="0085150E" w:rsidRPr="0085150E" w:rsidRDefault="0085150E" w:rsidP="0094761D">
      <w:pPr>
        <w:spacing w:before="0" w:after="0" w:line="240" w:lineRule="auto"/>
        <w:ind w:left="144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alibri Light" w:eastAsia="Times New Roman" w:hAnsi="Calibri Light" w:cs="Times New Roman"/>
          <w:color w:val="000000"/>
          <w:lang w:eastAsia="pt-BR"/>
        </w:rPr>
        <w:t> 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Função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densidade de probabilidade de uma distribuição normal multivariada</w:t>
      </w:r>
    </w:p>
    <w:p w:rsidR="008B3008" w:rsidRDefault="008B3008" w:rsidP="0094761D">
      <w:pPr>
        <w:spacing w:before="0" w:after="0" w:line="240" w:lineRule="auto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6842E90" wp14:editId="7AAF2903">
            <wp:extent cx="2514600" cy="759332"/>
            <wp:effectExtent l="57150" t="57150" r="57150" b="603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2471" cy="764729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 μ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é o valor médio de todos os pontos (geralmente os dados são normalizados de tal forma que μ=0)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Σ é a matriz de covariância da média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CF7D2C">
        <w:rPr>
          <w:rFonts w:asciiTheme="majorHAnsi" w:hAnsiTheme="majorHAnsi" w:cstheme="majorHAnsi"/>
          <w:noProof/>
        </w:rPr>
        <w:drawing>
          <wp:inline distT="0" distB="0" distL="0" distR="0" wp14:anchorId="7E47D4E5" wp14:editId="24BF516D">
            <wp:extent cx="2419350" cy="24844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3750" cy="2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é a distância de Mahalanobis do ponto x ao μ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MDist segue uma distribuição χ2 com d graus de liberdade (d = dimensionalidade dos dados)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 Todos os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pontos x,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com MDist(x,μ) &gt; χ2(0,975) [≈ 3.σ]</w:t>
      </w:r>
    </w:p>
    <w:p w:rsidR="00CF7D2C" w:rsidRPr="008B3008" w:rsidRDefault="00CF7D2C" w:rsidP="0094761D">
      <w:pPr>
        <w:pStyle w:val="PargrafodaLista"/>
        <w:spacing w:before="0" w:after="0" w:line="240" w:lineRule="auto"/>
        <w:ind w:left="1440"/>
        <w:rPr>
          <w:rFonts w:asciiTheme="majorHAnsi" w:hAnsiTheme="majorHAnsi" w:cstheme="majorHAnsi"/>
        </w:rPr>
      </w:pPr>
    </w:p>
    <w:p w:rsidR="008B3008" w:rsidRPr="008B3008" w:rsidRDefault="0085150E" w:rsidP="0094761D">
      <w:pPr>
        <w:spacing w:before="0" w:after="0" w:line="240" w:lineRule="auto"/>
        <w:rPr>
          <w:rFonts w:asciiTheme="majorHAnsi" w:hAnsiTheme="majorHAnsi" w:cstheme="majorHAnsi"/>
        </w:rPr>
      </w:pPr>
      <w:r>
        <w:rPr>
          <w:rFonts w:ascii="Calibri Light" w:hAnsi="Calibri Light"/>
          <w:color w:val="000000"/>
        </w:rPr>
        <w:t>Visualização (2D) [Tan et al. 2006]</w:t>
      </w:r>
      <w:r w:rsidR="008B3008" w:rsidRPr="008B3008">
        <w:rPr>
          <w:rFonts w:asciiTheme="majorHAnsi" w:hAnsiTheme="majorHAnsi" w:cstheme="majorHAnsi"/>
          <w:noProof/>
        </w:rPr>
        <w:drawing>
          <wp:inline distT="0" distB="0" distL="0" distR="0" wp14:anchorId="2095A176" wp14:editId="330FADBA">
            <wp:extent cx="6840220" cy="2364740"/>
            <wp:effectExtent l="57150" t="57150" r="55880" b="546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6474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Problemas</w:t>
      </w:r>
      <w:proofErr w:type="gramEnd"/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Maldição da dimensionalidade</w:t>
      </w:r>
    </w:p>
    <w:p w:rsidR="0085150E" w:rsidRPr="0085150E" w:rsidRDefault="0085150E" w:rsidP="0094761D">
      <w:pPr>
        <w:spacing w:before="0" w:after="0" w:line="240" w:lineRule="auto"/>
        <w:ind w:left="1788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Quanto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maior o grau de liberdade, mais semelhantes são os valores </w:t>
      </w:r>
      <w:r w:rsidRPr="0085150E">
        <w:rPr>
          <w:rFonts w:ascii="Calibri Light" w:eastAsia="Times New Roman" w:hAnsi="Calibri Light" w:cs="Times New Roman"/>
          <w:i/>
          <w:iCs/>
          <w:color w:val="000000"/>
          <w:lang w:val="pt-PT" w:eastAsia="pt-BR"/>
        </w:rPr>
        <w:t>do MDist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para todos os pontos</w:t>
      </w:r>
    </w:p>
    <w:p w:rsidR="008B3008" w:rsidRPr="008B3008" w:rsidRDefault="008B3008" w:rsidP="0094761D">
      <w:pPr>
        <w:spacing w:before="0" w:after="0" w:line="240" w:lineRule="auto"/>
        <w:rPr>
          <w:rFonts w:asciiTheme="majorHAnsi" w:hAnsiTheme="majorHAnsi" w:cstheme="majorHAnsi"/>
        </w:rPr>
      </w:pPr>
      <w:r w:rsidRPr="008B3008">
        <w:rPr>
          <w:rFonts w:asciiTheme="majorHAnsi" w:hAnsiTheme="majorHAnsi" w:cstheme="majorHAnsi"/>
          <w:noProof/>
        </w:rPr>
        <w:drawing>
          <wp:inline distT="0" distB="0" distL="0" distR="0" wp14:anchorId="43E9E1EB" wp14:editId="44044A37">
            <wp:extent cx="6840220" cy="2969895"/>
            <wp:effectExtent l="57150" t="57150" r="55880" b="590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69895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Robustez</w:t>
      </w:r>
    </w:p>
    <w:p w:rsidR="0085150E" w:rsidRPr="0085150E" w:rsidRDefault="0085150E" w:rsidP="0094761D">
      <w:pPr>
        <w:spacing w:before="0" w:after="0" w:line="240" w:lineRule="auto"/>
        <w:ind w:left="1788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lastRenderedPageBreak/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Média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e desvio padrão são muito sensíveis a outliers</w:t>
      </w:r>
    </w:p>
    <w:p w:rsidR="0085150E" w:rsidRPr="0085150E" w:rsidRDefault="0085150E" w:rsidP="0094761D">
      <w:pPr>
        <w:spacing w:before="0" w:after="0" w:line="240" w:lineRule="auto"/>
        <w:ind w:left="1788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Esses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valores são calculados para o conjunto de dados completo (incluindo possíveis outliers)</w:t>
      </w:r>
    </w:p>
    <w:p w:rsidR="0085150E" w:rsidRPr="0085150E" w:rsidRDefault="0085150E" w:rsidP="0094761D">
      <w:pPr>
        <w:spacing w:before="0" w:after="0" w:line="240" w:lineRule="auto"/>
        <w:ind w:left="1788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O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MDist é usado para determinar outliers, embora os valores de </w:t>
      </w:r>
      <w:r w:rsidRPr="0085150E">
        <w:rPr>
          <w:rFonts w:ascii="Calibri Light" w:eastAsia="Times New Roman" w:hAnsi="Calibri Light" w:cs="Times New Roman"/>
          <w:i/>
          <w:iCs/>
          <w:color w:val="000000"/>
          <w:lang w:val="pt-PT" w:eastAsia="pt-BR"/>
        </w:rPr>
        <w:t>MDist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sejam influenciados por esses outliers =&gt; Mínimo Covariância Determinante [Rousseeuw e Leroy 1987] minimiza a influência de outliers na distância de Mahalanobis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Discussão</w:t>
      </w:r>
    </w:p>
    <w:p w:rsidR="0085150E" w:rsidRPr="0085150E" w:rsidRDefault="0085150E" w:rsidP="0094761D">
      <w:pPr>
        <w:spacing w:before="0" w:after="0" w:line="240" w:lineRule="auto"/>
        <w:ind w:left="1788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A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distribuição de dados é fixa</w:t>
      </w:r>
    </w:p>
    <w:p w:rsidR="0085150E" w:rsidRPr="0085150E" w:rsidRDefault="0085150E" w:rsidP="0094761D">
      <w:pPr>
        <w:spacing w:before="0" w:after="0" w:line="240" w:lineRule="auto"/>
        <w:ind w:left="1788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Baixa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flexibilidade (sem modelo de mistura)</w:t>
      </w:r>
    </w:p>
    <w:p w:rsidR="0085150E" w:rsidRPr="0085150E" w:rsidRDefault="0085150E" w:rsidP="0094761D">
      <w:pPr>
        <w:spacing w:before="0" w:after="0" w:line="240" w:lineRule="auto"/>
        <w:ind w:left="1788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Método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global</w:t>
      </w:r>
    </w:p>
    <w:p w:rsidR="0085150E" w:rsidRPr="0085150E" w:rsidRDefault="0085150E" w:rsidP="0094761D">
      <w:pPr>
        <w:spacing w:before="0" w:after="0" w:line="240" w:lineRule="auto"/>
        <w:ind w:left="1788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Gera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um rótulo, mas também pode gerar uma pontuação</w:t>
      </w:r>
    </w:p>
    <w:p w:rsidR="008B3008" w:rsidRPr="008B3008" w:rsidRDefault="008B3008" w:rsidP="0094761D">
      <w:pPr>
        <w:spacing w:before="0" w:after="0" w:line="240" w:lineRule="auto"/>
        <w:rPr>
          <w:rFonts w:asciiTheme="majorHAnsi" w:hAnsiTheme="majorHAnsi" w:cstheme="majorHAnsi"/>
        </w:rPr>
      </w:pPr>
      <w:r w:rsidRPr="008B3008">
        <w:rPr>
          <w:rFonts w:asciiTheme="majorHAnsi" w:hAnsiTheme="majorHAnsi" w:cstheme="majorHAnsi"/>
          <w:noProof/>
        </w:rPr>
        <w:drawing>
          <wp:inline distT="0" distB="0" distL="0" distR="0" wp14:anchorId="14B6B48C" wp14:editId="6CAE8ECD">
            <wp:extent cx="3486150" cy="2438400"/>
            <wp:effectExtent l="57150" t="57150" r="57150" b="571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3840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150E" w:rsidRPr="0085150E" w:rsidRDefault="0085150E" w:rsidP="0094761D">
      <w:pPr>
        <w:pStyle w:val="Ttulo2"/>
        <w:spacing w:before="0" w:line="240" w:lineRule="auto"/>
      </w:pPr>
      <w:r w:rsidRPr="0085150E">
        <w:rPr>
          <w:caps w:val="0"/>
        </w:rPr>
        <w:t>Abordagens baseadas em profundidade</w:t>
      </w:r>
    </w:p>
    <w:p w:rsidR="00CF7D2C" w:rsidRPr="00CF7D2C" w:rsidRDefault="00CF7D2C" w:rsidP="0094761D">
      <w:pPr>
        <w:pStyle w:val="PargrafodaLista"/>
        <w:spacing w:before="0" w:after="0" w:line="240" w:lineRule="auto"/>
        <w:ind w:left="1440"/>
        <w:rPr>
          <w:rFonts w:asciiTheme="majorHAnsi" w:hAnsiTheme="majorHAnsi" w:cstheme="majorHAnsi"/>
        </w:rPr>
      </w:pP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Ideia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geral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Busca de outliers na borda do espaço de dados, mas independente de distribuições estatísticas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Organizar objetos de dados em camadas de casco convexas</w:t>
      </w:r>
    </w:p>
    <w:p w:rsidR="0085150E" w:rsidRPr="0085150E" w:rsidRDefault="0085150E" w:rsidP="0094761D">
      <w:pPr>
        <w:shd w:val="clear" w:color="auto" w:fill="F0F0A0"/>
        <w:spacing w:before="0" w:after="0" w:line="240" w:lineRule="auto"/>
        <w:ind w:left="1440" w:hanging="360"/>
        <w:rPr>
          <w:rFonts w:ascii="Calibri" w:eastAsia="Times New Roman" w:hAnsi="Calibri" w:cs="Times New Roman"/>
          <w:color w:val="0F0F5F"/>
          <w:lang w:val="pt-PT" w:eastAsia="pt-BR"/>
        </w:rPr>
      </w:pPr>
      <w:r w:rsidRPr="0085150E">
        <w:rPr>
          <w:rFonts w:ascii="Courier New" w:eastAsia="Times New Roman" w:hAnsi="Courier New" w:cs="Courier New"/>
          <w:color w:val="0F0F5F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F0F5F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F0F5F"/>
          <w:lang w:val="pt-PT" w:eastAsia="pt-BR"/>
        </w:rPr>
        <w:t>Outliers são objetos em camadas externas</w:t>
      </w:r>
    </w:p>
    <w:p w:rsidR="00CF7D2C" w:rsidRPr="00CF7D2C" w:rsidRDefault="00CF7D2C" w:rsidP="0094761D">
      <w:pPr>
        <w:spacing w:before="0" w:after="0" w:line="240" w:lineRule="auto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C61D008" wp14:editId="50BA45D6">
            <wp:extent cx="1543050" cy="1425962"/>
            <wp:effectExtent l="57150" t="57150" r="57150" b="603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7897" cy="1430441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Pressuposto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básico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Outliers estão localizados na borda do espaço de dados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Objetos normais estão no centro do espaço de dados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Modelo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[Tukey 1977]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Pontos no casco convexo do espaço de dados completo têm profundidade = 1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Pontos no casco convexo do conjunto de dados após a remoção de todos os pontos com profundidade = 1 têm profundidade = 2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Pontos com profundidade ≤ k são relatados como outliers</w:t>
      </w:r>
    </w:p>
    <w:p w:rsidR="00CF7D2C" w:rsidRPr="00CF7D2C" w:rsidRDefault="00CF7D2C" w:rsidP="0094761D">
      <w:pPr>
        <w:spacing w:before="0" w:after="0" w:line="240" w:lineRule="auto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32DC85E" wp14:editId="63AEF72F">
            <wp:extent cx="3105150" cy="1767260"/>
            <wp:effectExtent l="57150" t="57150" r="57150" b="6159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2600" cy="177150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Algoritmos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de exemplo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lastRenderedPageBreak/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ISOPROFUNDIDADE [Ruts e Rousseeuw 1996]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FDC [Johnson et al. 1998]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Discussão</w:t>
      </w:r>
      <w:proofErr w:type="gramEnd"/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Ideia semelhante às abordagens estatísticas clássicas (k = 1 distribuições), mas independente do tipo de distribuição escolhido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A computação do casco convexo geralmente só é eficiente em espaços 2D / 3D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Originalmente produz um rótulo, mas pode ser estendido para pontuar facilmente (tomar profundidade como valor de pontuação)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Usa um conjunto de referência global para detecção de outliers</w:t>
      </w:r>
    </w:p>
    <w:p w:rsidR="0085150E" w:rsidRPr="0085150E" w:rsidRDefault="0085150E" w:rsidP="0094761D">
      <w:pPr>
        <w:pStyle w:val="Ttulo2"/>
        <w:spacing w:before="0" w:line="240" w:lineRule="auto"/>
      </w:pPr>
      <w:r w:rsidRPr="0085150E">
        <w:rPr>
          <w:caps w:val="0"/>
        </w:rPr>
        <w:t>Abordagens baseadas em desvios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Ideia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geral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Dado um conjunto de pontos de dados (grupo local ou conjunto global)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Outliers são pontos que não se ajustam às características gerais daquele conjunto, ou seja, a variância do conjunto é minimizada ao remover os outliers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Pressuposto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básico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Outliers são os pontos mais externos do conjunto de dados</w:t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Modelo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[Arning et al. 1996]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Dado um fator de suavização SF(I) que calcula para cada I </w:t>
      </w:r>
      <w:r w:rsidRPr="0085150E">
        <w:rPr>
          <w:rFonts w:ascii="Cambria Math" w:eastAsia="Times New Roman" w:hAnsi="Cambria Math" w:cs="Times New Roman"/>
          <w:color w:val="000000"/>
          <w:lang w:val="pt-PT" w:eastAsia="pt-BR"/>
        </w:rPr>
        <w:t>⊆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 DB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quanto a variância do DB é diminuída quando eu é removido do DB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Com igual diminuição na variância, um conjunto de exceções menor é melhor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Os outliers são os elementos do conjunto de exceções E </w:t>
      </w:r>
      <w:r w:rsidRPr="0085150E">
        <w:rPr>
          <w:rFonts w:ascii="Cambria Math" w:eastAsia="Times New Roman" w:hAnsi="Cambria Math" w:cs="Times New Roman"/>
          <w:color w:val="000000"/>
          <w:lang w:val="pt-PT" w:eastAsia="pt-BR"/>
        </w:rPr>
        <w:t>⊆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 DB para os quais se aplica o</w:t>
      </w: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 seguinte:</w:t>
      </w:r>
      <w:r w:rsidRPr="0085150E">
        <w:t xml:space="preserve"> </w:t>
      </w:r>
      <w:r w:rsidRPr="002D0324">
        <w:rPr>
          <w:noProof/>
        </w:rPr>
        <w:drawing>
          <wp:inline distT="0" distB="0" distL="0" distR="0" wp14:anchorId="7F3FDFC1" wp14:editId="5077E726">
            <wp:extent cx="2886075" cy="395979"/>
            <wp:effectExtent l="57150" t="57150" r="47625" b="6159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8479" cy="399053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150E" w:rsidRPr="0085150E" w:rsidRDefault="0085150E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85150E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Discussão</w:t>
      </w:r>
      <w:proofErr w:type="gramEnd"/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: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Ideia semelhante às abordagens estatísticas clássicas (k = 1 distribuições), mas independente do tipo de distribuição escolhido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alibri" w:eastAsia="Times New Roman" w:hAnsi="Calibri" w:cs="Times New Roman"/>
          <w:color w:val="000000"/>
          <w:lang w:val="pt-PT" w:eastAsia="pt-BR"/>
        </w:rPr>
        <w:t>o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Solução ingênua está em O(2n) para n objetos de dados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Heurísticas como amostragem aleatória ou melhor primeira pesquisa são aplicadas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Aplicável a qualquer tipo de dados (depende da definição de SF)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Originalmente concebido como um método global</w:t>
      </w:r>
    </w:p>
    <w:p w:rsidR="0085150E" w:rsidRPr="0085150E" w:rsidRDefault="0085150E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85150E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85150E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85150E">
        <w:rPr>
          <w:rFonts w:ascii="Calibri Light" w:eastAsia="Times New Roman" w:hAnsi="Calibri Light" w:cs="Times New Roman"/>
          <w:color w:val="000000"/>
          <w:lang w:val="pt-PT" w:eastAsia="pt-BR"/>
        </w:rPr>
        <w:t>Gera uma etiquetagem</w:t>
      </w:r>
    </w:p>
    <w:p w:rsidR="002D0324" w:rsidRPr="0085150E" w:rsidRDefault="002D0324" w:rsidP="0094761D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</w:p>
    <w:p w:rsidR="0085150E" w:rsidRPr="0085150E" w:rsidRDefault="0085150E" w:rsidP="0094761D">
      <w:pPr>
        <w:pStyle w:val="Ttulo2"/>
        <w:spacing w:before="0" w:line="240" w:lineRule="auto"/>
      </w:pPr>
      <w:r w:rsidRPr="0085150E">
        <w:rPr>
          <w:caps w:val="0"/>
        </w:rPr>
        <w:t>Abordagens baseadas em distância</w:t>
      </w:r>
    </w:p>
    <w:p w:rsidR="004F1156" w:rsidRPr="004F1156" w:rsidRDefault="004F1156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Ideia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Geral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Julgar um ponto com base na(s) distância(s) de seus vizinhos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Várias variantes propostas</w:t>
      </w:r>
    </w:p>
    <w:p w:rsidR="004F1156" w:rsidRPr="004F1156" w:rsidRDefault="004F1156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Pressuposto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Básico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Objetos de dados normais têm uma vizinhança densa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Outliers estão distantes de seus vizinhos, ou seja, têm um Bairro menos denso</w:t>
      </w:r>
    </w:p>
    <w:p w:rsidR="004F1156" w:rsidRPr="004F1156" w:rsidRDefault="004F1156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DB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(ε,π)-Outliers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Modelo básico [Knorr e Ng 1997]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Dado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um raio ε e uma porcentagem π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Um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ponto p é considerado um outlier se, no máximo, π% de todos os outros pontos tiverem uma distância a p menor que ε</w:t>
      </w:r>
    </w:p>
    <w:p w:rsidR="00CF7D2C" w:rsidRDefault="00CF7D2C" w:rsidP="0094761D">
      <w:pPr>
        <w:spacing w:before="0" w:after="0" w:line="240" w:lineRule="auto"/>
        <w:rPr>
          <w:rFonts w:asciiTheme="majorHAnsi" w:hAnsiTheme="majorHAnsi" w:cstheme="majorHAnsi"/>
        </w:rPr>
      </w:pPr>
      <w:r w:rsidRPr="002D0324">
        <w:rPr>
          <w:noProof/>
        </w:rPr>
        <w:drawing>
          <wp:inline distT="0" distB="0" distL="0" distR="0" wp14:anchorId="3E61241C" wp14:editId="707837A8">
            <wp:extent cx="3633901" cy="1901625"/>
            <wp:effectExtent l="57150" t="57150" r="62230" b="6096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406" cy="1910262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156" w:rsidRPr="004F1156" w:rsidRDefault="004F1156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Algoritmos</w:t>
      </w:r>
      <w:proofErr w:type="gramEnd"/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Baseado em índices [Knorr e Ng 1998]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Calcular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a junção do intervalo de distâncias usando a estrutura do índice espacial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Exclua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o ponto de consideração adicional se sua vizinhança ε contiver mais de Card(DB) . π pontos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lastRenderedPageBreak/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• Baseado em loop aninhado [Knorr e Ng 1998]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Divida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o buffer em duas partes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Use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a segunda parte para digitalizar/comparar todos os pontos com os pontos da primeira parte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• Baseado em grade [Knorr e Ng 1998]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Construa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uma grade de forma que quaisquer dois pontos da mesma célula de grade tenham uma distância de no máximo ε um do outro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Os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pontos só precisam ser comparados com pontos de células vizinhas</w:t>
      </w:r>
    </w:p>
    <w:p w:rsidR="004F1156" w:rsidRPr="004F1156" w:rsidRDefault="004F1156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Derivando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conhecimento intensional [Knorr e Ng 1999]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Baseia-se no modelo DB(ε,π)-outlier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alibri" w:eastAsia="Times New Roman" w:hAnsi="Calibri" w:cs="Times New Roman"/>
          <w:color w:val="000000"/>
          <w:lang w:val="pt-PT" w:eastAsia="pt-BR"/>
        </w:rPr>
        <w:t>o Encontre o(s)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subconjunto(s) mínimo(s) de atributos que explica o "outlierness" de um ponto, ou seja, no qual o ponto ainda é um outlier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Exemplo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Valores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atípicos identificados</w:t>
      </w:r>
    </w:p>
    <w:p w:rsidR="00CF7D2C" w:rsidRPr="002D0324" w:rsidRDefault="00CF7D2C" w:rsidP="0094761D">
      <w:pPr>
        <w:spacing w:before="0" w:after="0" w:line="240" w:lineRule="auto"/>
        <w:rPr>
          <w:rFonts w:asciiTheme="majorHAnsi" w:hAnsiTheme="majorHAnsi" w:cstheme="majorHAnsi"/>
        </w:rPr>
      </w:pPr>
      <w:r w:rsidRPr="002D0324">
        <w:rPr>
          <w:noProof/>
        </w:rPr>
        <w:drawing>
          <wp:inline distT="0" distB="0" distL="0" distR="0" wp14:anchorId="5FD6DE16" wp14:editId="603149CD">
            <wp:extent cx="6840220" cy="1171575"/>
            <wp:effectExtent l="57150" t="57150" r="55880" b="666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71575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7D2C" w:rsidRDefault="004F1156" w:rsidP="0094761D">
      <w:pPr>
        <w:spacing w:before="0" w:after="0" w:line="240" w:lineRule="auto"/>
        <w:ind w:left="360"/>
        <w:rPr>
          <w:rFonts w:ascii="Calibri Light" w:hAnsi="Calibri Light"/>
          <w:color w:val="000000"/>
          <w:lang w:val="pt-PT"/>
        </w:rPr>
      </w:pPr>
      <w:proofErr w:type="gramStart"/>
      <w:r>
        <w:rPr>
          <w:rFonts w:ascii="Wingdings" w:hAnsi="Wingdings"/>
          <w:color w:val="000000"/>
        </w:rPr>
        <w:t></w:t>
      </w:r>
      <w:r>
        <w:rPr>
          <w:color w:val="000000"/>
          <w:sz w:val="14"/>
          <w:szCs w:val="14"/>
        </w:rPr>
        <w:t>  </w:t>
      </w:r>
      <w:r>
        <w:rPr>
          <w:rFonts w:ascii="Calibri Light" w:hAnsi="Calibri Light"/>
          <w:color w:val="000000"/>
          <w:lang w:val="pt-PT"/>
        </w:rPr>
        <w:t>Conhecimento</w:t>
      </w:r>
      <w:proofErr w:type="gramEnd"/>
      <w:r>
        <w:rPr>
          <w:rFonts w:ascii="Calibri Light" w:hAnsi="Calibri Light"/>
          <w:color w:val="000000"/>
          <w:lang w:val="pt-PT"/>
        </w:rPr>
        <w:t xml:space="preserve"> intensional derivado (esboço)</w:t>
      </w:r>
      <w:r w:rsidR="00CF7D2C" w:rsidRPr="002D0324">
        <w:rPr>
          <w:noProof/>
        </w:rPr>
        <w:drawing>
          <wp:inline distT="0" distB="0" distL="0" distR="0" wp14:anchorId="29D4B89C" wp14:editId="684BA796">
            <wp:extent cx="4972050" cy="2466975"/>
            <wp:effectExtent l="57150" t="57150" r="57150" b="666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66975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156" w:rsidRPr="004F1156" w:rsidRDefault="004F1156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Pontuação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de outlier com base em distâncias kNN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Modelos gerais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Tome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a distância kNN de um ponto como sua pontuação atípica [Ramaswamy et al 2000]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Agregar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as distâncias de um ponto a todos os seus 1NN, 2NN, ..., kNN como um escore outlier [Angiulli e Pizzuti 2002]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Algoritmos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Abordagens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gerais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Loop aninhado</w:t>
      </w:r>
    </w:p>
    <w:p w:rsidR="004F1156" w:rsidRPr="004F1156" w:rsidRDefault="004F1156" w:rsidP="0094761D">
      <w:pPr>
        <w:spacing w:before="0" w:after="0" w:line="240" w:lineRule="auto"/>
        <w:ind w:left="360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Abordagem ingênua: Para cada objeto: compute kNNs com uma varredura sequencial</w:t>
      </w:r>
    </w:p>
    <w:p w:rsidR="004F1156" w:rsidRPr="004F1156" w:rsidRDefault="004F1156" w:rsidP="0094761D">
      <w:pPr>
        <w:spacing w:before="0" w:after="0" w:line="240" w:lineRule="auto"/>
        <w:ind w:left="360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Aprimoramento: use estruturas de índice para consultas kNN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Baseado em partição</w:t>
      </w:r>
    </w:p>
    <w:p w:rsidR="004F1156" w:rsidRPr="004F1156" w:rsidRDefault="004F1156" w:rsidP="0094761D">
      <w:pPr>
        <w:spacing w:before="0" w:after="0" w:line="240" w:lineRule="auto"/>
        <w:ind w:left="360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Particionar dados em micro clusters</w:t>
      </w:r>
    </w:p>
    <w:p w:rsidR="004F1156" w:rsidRPr="004F1156" w:rsidRDefault="004F1156" w:rsidP="0094761D">
      <w:pPr>
        <w:spacing w:before="0" w:after="0" w:line="240" w:lineRule="auto"/>
        <w:ind w:left="360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Informações agregadas para cada partição (por exemplo, retângulos delimitadores mínimos)</w:t>
      </w:r>
    </w:p>
    <w:p w:rsidR="004F1156" w:rsidRPr="004F1156" w:rsidRDefault="004F1156" w:rsidP="0094761D">
      <w:pPr>
        <w:spacing w:before="0" w:after="0" w:line="240" w:lineRule="auto"/>
        <w:ind w:left="360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Permite podar micro clusters que não podem se qualificar ao procurar os kNNs de um determinado ponto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Algoritmos de amostra (computação top-n outliers)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Loop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aninhado [Ramaswamy et al 2000]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Algoritmo NL simples com suporte de índice para consultas kNN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Algoritmo baseado em partição (baseado em um algoritmo de clustering que tem complexidade de tempo linear)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Algoritmo para o modelo simples kNN-distância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Linearização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[Angiulli e Pizzuti 2002]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lastRenderedPageBreak/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Linearização de um conjunto de dados multidimensionais usando curvas de preenchimento de espaço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 representação 1D é particionada em micro clusters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Algoritmo para o modelo kNN-distância média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ORCA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[Baía e Schwabacher 2003]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Algoritmo NL com randomização e poda simples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Poda: se um ponto tiver uma pontuação maior do que o outlier top-n até agora (cut-off), remova esse ponto de consideração adicional</w:t>
      </w:r>
    </w:p>
    <w:p w:rsidR="004F1156" w:rsidRPr="004F1156" w:rsidRDefault="004F1156" w:rsidP="0094761D">
      <w:pPr>
        <w:spacing w:before="0" w:after="0" w:line="240" w:lineRule="auto"/>
        <w:ind w:left="360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não-outliers são podados</w:t>
      </w:r>
    </w:p>
    <w:p w:rsidR="004F1156" w:rsidRPr="004F1156" w:rsidRDefault="004F1156" w:rsidP="0094761D">
      <w:pPr>
        <w:spacing w:before="0" w:after="0" w:line="240" w:lineRule="auto"/>
        <w:ind w:left="360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 funciona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bem em dados aleatórios (pode ser feito em tempo linear)</w:t>
      </w:r>
    </w:p>
    <w:p w:rsidR="004F1156" w:rsidRPr="004F1156" w:rsidRDefault="004F1156" w:rsidP="0094761D">
      <w:pPr>
        <w:spacing w:before="0" w:after="0" w:line="240" w:lineRule="auto"/>
        <w:ind w:left="360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pior caso: algoritmo NL ingênuo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Algoritmo para ambos os modelos kNN-distância e o modelo DB(</w:t>
      </w:r>
      <w:proofErr w:type="gramStart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ε,π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)-outlier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RBRP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[Ghoting et al. 2006],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Ideia: tentar aumentar o corte o máximo possível =&gt; aumentar o poder de poda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Calcule kNNs aproximados para cada ponto para obter um melhor ponto de corte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Para pesquisa aproximada de kNN, os pontos de dados são particionados em microclusters e kNNs são pesquisados apenas dentro de cada micro cluster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Algoritmo para ambos os modelos kNN-distância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Outras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abordagens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Também aplicar algoritmos baseados em particionamento usando micro clusters [McCallum et al 2000], [Tao et al. 2006]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Solução aproximada baseada em pontos de referência [Pei et al. 2006]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Discussão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saída pode ser uma pontuação (modelos kNN-distância) ou uma etiquetagem (modelos kNNdistância e o modelo DB(ε,π)-outlier)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As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abordagens são locais (a resolução pode ser ajustada pelo usuário via ε ou k)</w:t>
      </w:r>
    </w:p>
    <w:p w:rsidR="004F1156" w:rsidRPr="004F1156" w:rsidRDefault="004F1156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Variante</w:t>
      </w:r>
      <w:proofErr w:type="gramEnd"/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alibri" w:eastAsia="Times New Roman" w:hAnsi="Calibri" w:cs="Times New Roman"/>
          <w:color w:val="000000"/>
          <w:lang w:val="pt-PT" w:eastAsia="pt-BR"/>
        </w:rPr>
        <w:t>o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Detecção de Outlier usando o número de grau [Hautamaki et al. 2004]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Idéia</w:t>
      </w:r>
      <w:proofErr w:type="gramEnd"/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Construir o gráfico kNN para um conjunto de dados</w:t>
      </w:r>
    </w:p>
    <w:p w:rsidR="004F1156" w:rsidRPr="004F1156" w:rsidRDefault="004F1156" w:rsidP="0094761D">
      <w:pPr>
        <w:spacing w:before="0" w:after="0" w:line="240" w:lineRule="auto"/>
        <w:ind w:left="360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Vértices: pontos de dados</w:t>
      </w:r>
    </w:p>
    <w:p w:rsidR="004F1156" w:rsidRPr="004F1156" w:rsidRDefault="004F1156" w:rsidP="0094761D">
      <w:pPr>
        <w:spacing w:before="0" w:after="0" w:line="240" w:lineRule="auto"/>
        <w:ind w:left="360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Borda: se</w:t>
      </w:r>
      <w:r w:rsidRPr="004F1156">
        <w:rPr>
          <w:rFonts w:ascii="Calibri" w:eastAsia="Times New Roman" w:hAnsi="Calibri" w:cs="Times New Roman"/>
          <w:color w:val="000000"/>
          <w:lang w:val="pt-PT" w:eastAsia="pt-BR"/>
        </w:rPr>
        <w:t> q</w:t>
      </w:r>
      <w:r w:rsidRPr="004F1156">
        <w:rPr>
          <w:rFonts w:ascii="Cambria Math" w:eastAsia="Times New Roman" w:hAnsi="Cambria Math" w:cs="Times New Roman"/>
          <w:color w:val="000000"/>
          <w:lang w:val="pt-PT" w:eastAsia="pt-BR"/>
        </w:rPr>
        <w:t>∈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kNN(p) então há uma aresta direcionada de p para q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Um vértice que tem um grau menor que igual a T (limite definido pelo usuário) é um outlier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Discussão</w:t>
      </w:r>
      <w:proofErr w:type="gramEnd"/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 grau de um vértice no gráfico kNN é igual ao número de kNNs reversos (RkNN) do ponto correspondente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Os RkNNs de um ponto p são aqueles objetos de dados que têm p entre seus kNNs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Intuição do modelo: outliers são</w:t>
      </w:r>
    </w:p>
    <w:p w:rsidR="004F1156" w:rsidRPr="004F1156" w:rsidRDefault="004F1156" w:rsidP="0094761D">
      <w:pPr>
        <w:spacing w:before="0" w:after="0" w:line="240" w:lineRule="auto"/>
        <w:ind w:left="360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" w:eastAsia="Times New Roman" w:hAnsi="Calibri" w:cs="Times New Roman"/>
          <w:color w:val="000000"/>
          <w:lang w:val="pt-PT" w:eastAsia="pt-BR"/>
        </w:rPr>
        <w:t>pontos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que estão entre os kNNs de menos de T outros pontos</w:t>
      </w:r>
    </w:p>
    <w:p w:rsidR="004F1156" w:rsidRPr="004F1156" w:rsidRDefault="004F1156" w:rsidP="0094761D">
      <w:pPr>
        <w:spacing w:before="0" w:after="0" w:line="240" w:lineRule="auto"/>
        <w:ind w:left="360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têm menos de T RkNNs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Gera um rótulo atípico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É uma abordagem local (dependendo do parâmetro k definido pelo usuário)</w:t>
      </w:r>
    </w:p>
    <w:p w:rsidR="004F1156" w:rsidRPr="004F1156" w:rsidRDefault="004F1156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Fator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de outlier baseado em resolução (ROF) [Fan et al. 2006]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Modelo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Dependendo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da resolução dos limiares de distância aplicados, os pontos são discrepantes ou dentro de um cluster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Com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a resolução máxima Rmax (limiar de distância mínima) todos os pontos são outliers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Com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a resolução mínima Rmin (limite de distância máxima) todos os pontos estão dentro de um cluster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Altere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a resolução de Rmax para Rmin para que, em cada etapa, pelo menos um ponto mude de outlier para membro de um cluster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Cluster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é definido similarmente como em DBSCAN [Ester et al 1996] como um fechamento transitivo de r-bairros (onde are é a resolução atual)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Valor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ROF</w:t>
      </w:r>
    </w:p>
    <w:p w:rsidR="00CF7D2C" w:rsidRPr="00207676" w:rsidRDefault="00CF7D2C" w:rsidP="0094761D">
      <w:pPr>
        <w:spacing w:before="0" w:after="0" w:line="240" w:lineRule="auto"/>
        <w:jc w:val="center"/>
        <w:rPr>
          <w:rFonts w:asciiTheme="majorHAnsi" w:hAnsiTheme="majorHAnsi" w:cstheme="majorHAnsi"/>
        </w:rPr>
      </w:pPr>
      <w:r w:rsidRPr="002D0324">
        <w:rPr>
          <w:noProof/>
        </w:rPr>
        <w:drawing>
          <wp:inline distT="0" distB="0" distL="0" distR="0" wp14:anchorId="2090F19A" wp14:editId="23CD3236">
            <wp:extent cx="2609850" cy="546383"/>
            <wp:effectExtent l="57150" t="57150" r="57150" b="635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7511" cy="552174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Discussão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Gera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uma pontuação (o valor de ROF)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resolução varia automaticamente de local para global</w:t>
      </w:r>
    </w:p>
    <w:p w:rsidR="004F1156" w:rsidRPr="004F1156" w:rsidRDefault="004F1156" w:rsidP="0094761D">
      <w:pPr>
        <w:pStyle w:val="Ttulo2"/>
        <w:spacing w:before="0" w:line="240" w:lineRule="auto"/>
      </w:pPr>
      <w:r w:rsidRPr="004F1156">
        <w:rPr>
          <w:caps w:val="0"/>
        </w:rPr>
        <w:t>Abordagens baseadas em densidade</w:t>
      </w:r>
    </w:p>
    <w:p w:rsidR="00207676" w:rsidRDefault="00207676" w:rsidP="0094761D">
      <w:pPr>
        <w:pStyle w:val="PargrafodaLista"/>
        <w:spacing w:before="0" w:after="0" w:line="240" w:lineRule="auto"/>
        <w:rPr>
          <w:rFonts w:asciiTheme="majorHAnsi" w:hAnsiTheme="majorHAnsi" w:cstheme="majorHAnsi"/>
        </w:rPr>
      </w:pPr>
    </w:p>
    <w:p w:rsidR="004F1156" w:rsidRPr="004F1156" w:rsidRDefault="004F1156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lastRenderedPageBreak/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Ideia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geral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" w:eastAsia="Times New Roman" w:hAnsi="Calibri" w:cs="Times New Roman"/>
          <w:color w:val="000000"/>
          <w:lang w:val="pt-PT" w:eastAsia="pt-BR"/>
        </w:rPr>
        <w:t>Compare a densidade em torno de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um ponto com a densidade em torno de seus vizinhos locais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 densidade relativa de um ponto em comparação com seus vizinhos é calculada como uma pontuação atípica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As abordagens também diferem na forma de estimar a densidade</w:t>
      </w:r>
    </w:p>
    <w:p w:rsidR="004F1156" w:rsidRPr="004F1156" w:rsidRDefault="004F1156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Pressuposto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básico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" w:eastAsia="Times New Roman" w:hAnsi="Calibri" w:cs="Times New Roman"/>
          <w:color w:val="000000"/>
          <w:lang w:val="pt-PT" w:eastAsia="pt-BR"/>
        </w:rPr>
        <w:t>A densidade em torno de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um objeto de dados normal é semelhante à densidade em torno de seus vizinhos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" w:eastAsia="Times New Roman" w:hAnsi="Calibri" w:cs="Times New Roman"/>
          <w:color w:val="000000"/>
          <w:lang w:val="pt-PT" w:eastAsia="pt-BR"/>
        </w:rPr>
        <w:t>A densidade em torno de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um outlier é consideravelmente diferente da densidade em torno de seus vizinhos</w:t>
      </w:r>
    </w:p>
    <w:p w:rsidR="004F1156" w:rsidRPr="004F1156" w:rsidRDefault="004F1156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Local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Outlier Factor (LOF) [Breunig et al. 1999], [Breunig et al. 2000]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Motivação: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Modelos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de detecção de outliers baseados em distância têm problemas com densidades diferentes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Como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comparar a vizinhança de pontos de áreas de diferentes densidades?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Exemplo</w:t>
      </w:r>
      <w:proofErr w:type="gramEnd"/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Modelo DB(</w:t>
      </w:r>
      <w:proofErr w:type="gramStart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ε,π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)-outlier</w:t>
      </w:r>
    </w:p>
    <w:p w:rsidR="004F1156" w:rsidRPr="004F1156" w:rsidRDefault="004F1156" w:rsidP="0094761D">
      <w:pPr>
        <w:spacing w:before="0" w:after="0" w:line="240" w:lineRule="auto"/>
        <w:ind w:left="360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Os parâmetros ε e π não podem ser escolhidos para que o2 seja um outlier, mas nenhum dos pontos no cluster C1 (por exemplo, q) é um outlier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Outliers baseados em kNN-distância</w:t>
      </w:r>
    </w:p>
    <w:p w:rsidR="004F1156" w:rsidRPr="004F1156" w:rsidRDefault="004F1156" w:rsidP="0094761D">
      <w:pPr>
        <w:spacing w:before="0" w:after="0" w:line="240" w:lineRule="auto"/>
        <w:ind w:left="360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" w:eastAsia="Times New Roman" w:hAnsi="Calibri" w:cs="Times New Roman"/>
          <w:color w:val="000000"/>
          <w:lang w:val="pt-PT" w:eastAsia="pt-BR"/>
        </w:rPr>
        <w:t>kNN-distâncias de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objetos em C1 (por exemplo, q) são maiores do que a kNN-distância de o2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alibri" w:eastAsia="Times New Roman" w:hAnsi="Calibri" w:cs="Times New Roman"/>
          <w:color w:val="000000"/>
          <w:lang w:val="pt-PT" w:eastAsia="pt-BR"/>
        </w:rPr>
        <w:t>o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Solução: considere</w:t>
      </w:r>
      <w:r w:rsidRPr="004F1156">
        <w:rPr>
          <w:rFonts w:ascii="Calibri" w:eastAsia="Times New Roman" w:hAnsi="Calibri" w:cs="Times New Roman"/>
          <w:color w:val="000000"/>
          <w:lang w:val="pt-PT" w:eastAsia="pt-BR"/>
        </w:rPr>
        <w:t> </w:t>
      </w: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a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" w:eastAsia="Times New Roman" w:hAnsi="Calibri" w:cs="Times New Roman"/>
          <w:color w:val="000000"/>
          <w:lang w:val="pt-PT" w:eastAsia="pt-BR"/>
        </w:rPr>
        <w:t>densidade relativa</w:t>
      </w:r>
    </w:p>
    <w:p w:rsidR="00CF7D2C" w:rsidRDefault="00CF7D2C" w:rsidP="0094761D">
      <w:pPr>
        <w:spacing w:before="0"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7C4FC42" wp14:editId="5FC13A24">
            <wp:extent cx="2114550" cy="2062695"/>
            <wp:effectExtent l="57150" t="57150" r="57150" b="520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2786" cy="2070729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E1D95" w:rsidRPr="009E1D95">
        <w:rPr>
          <w:noProof/>
        </w:rPr>
        <w:t xml:space="preserve"> </w:t>
      </w:r>
      <w:r w:rsidR="009E1D95">
        <w:rPr>
          <w:noProof/>
        </w:rPr>
        <w:drawing>
          <wp:inline distT="0" distB="0" distL="0" distR="0" wp14:anchorId="3A2662E4" wp14:editId="0E70246A">
            <wp:extent cx="2857500" cy="1962150"/>
            <wp:effectExtent l="57150" t="57150" r="57150" b="571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6215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Modelo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Distância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de acessibilidade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Introduz um fator de suavização</w:t>
      </w:r>
    </w:p>
    <w:p w:rsidR="004F1156" w:rsidRDefault="004F1156" w:rsidP="0094761D">
      <w:pPr>
        <w:spacing w:before="0" w:after="0" w:line="240" w:lineRule="auto"/>
        <w:jc w:val="center"/>
        <w:rPr>
          <w:rFonts w:asciiTheme="majorHAnsi" w:hAnsiTheme="majorHAnsi" w:cstheme="majorHAnsi"/>
        </w:rPr>
      </w:pPr>
    </w:p>
    <w:p w:rsidR="009E1D95" w:rsidRDefault="009E1D95" w:rsidP="0094761D">
      <w:pPr>
        <w:spacing w:before="0" w:after="0" w:line="240" w:lineRule="auto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8186EB8" wp14:editId="6B35E7E7">
            <wp:extent cx="4772025" cy="419100"/>
            <wp:effectExtent l="57150" t="57150" r="66675" b="571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1910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Distância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de acessibilidade local (lrd) do ponto p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Inverso dos dists de alcance médios dos kNNs de p</w:t>
      </w:r>
    </w:p>
    <w:p w:rsidR="009E1D95" w:rsidRDefault="009E1D95" w:rsidP="0094761D">
      <w:pPr>
        <w:spacing w:before="0" w:after="0" w:line="240" w:lineRule="auto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EE2A351" wp14:editId="08CDFD32">
            <wp:extent cx="3714750" cy="1238250"/>
            <wp:effectExtent l="57150" t="57150" r="57150" b="571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3825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Fator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de outlier local (LOF) do ponto p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Razão média de LRD de vizinhos de p e de lrd de p</w:t>
      </w:r>
    </w:p>
    <w:p w:rsidR="009E1D95" w:rsidRDefault="009E1D95" w:rsidP="0094761D">
      <w:pPr>
        <w:spacing w:before="0" w:after="0" w:line="240" w:lineRule="auto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0D96034" wp14:editId="326CE9F4">
            <wp:extent cx="3190875" cy="1295400"/>
            <wp:effectExtent l="57150" t="57150" r="66675" b="571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9540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Propriedades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lastRenderedPageBreak/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LOF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≈ 1: ponto está em um aglomerado (região com densidade homogênea ao redor do ponto e seus vizinhos)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LOF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&gt;&gt; 1: ponto é um outlier</w:t>
      </w:r>
    </w:p>
    <w:p w:rsidR="009E1D95" w:rsidRDefault="009E1D95" w:rsidP="0094761D">
      <w:pPr>
        <w:spacing w:before="0" w:after="0" w:line="240" w:lineRule="auto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A3322FF" wp14:editId="29193A67">
            <wp:extent cx="4933950" cy="2381250"/>
            <wp:effectExtent l="57150" t="57150" r="57150" b="571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Discussão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escolha de k (MinPts no artigo original) especifica o conjunto de referência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Originalmente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implementa uma abordagem local (a resolução depende da escolha do usuário para k)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Gera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uma pontuação (atribui um valor LOF a cada ponto)</w:t>
      </w:r>
    </w:p>
    <w:p w:rsidR="004F1156" w:rsidRPr="004F1156" w:rsidRDefault="004F1156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Variantes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de LOF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Mineração top-n outliers locais [Jin et al. 2001]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Idéia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: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Normalmente, um usuário só está interessado nos outliers top-n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Não calcular a LOF para todos os objetos de dados =&gt; salvar tempo de execução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Método</w:t>
      </w:r>
      <w:proofErr w:type="gramEnd"/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F0F5F"/>
          <w:shd w:val="clear" w:color="auto" w:fill="F0F0A0"/>
          <w:lang w:val="pt-PT" w:eastAsia="pt-BR"/>
        </w:rPr>
        <w:t>Comprimir pontos de dados em micro clusters usando os FCs de BIRCH [Zhang et al. 1996]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Derivar limites superior e inferior das distâncias de acessibilidade, valores lrd e valores LOF para pontos dentro de um micro clusters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Calcular limites superior e inferior de valores LOF para microclusters e classificar resultados w.r.t. limite inferior ascendente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Prune micro clusters que não podem acomodar pontos entre os top-n outliers (n maiores valores de LOF)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Refine iterativamente os </w:t>
      </w:r>
      <w:proofErr w:type="gramStart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micro cachos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restantes e os pontos de poda de acordo</w:t>
      </w:r>
    </w:p>
    <w:p w:rsidR="004F1156" w:rsidRPr="004F1156" w:rsidRDefault="004F1156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Variantes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da LOF (cont.)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Fator outlier baseado em conectividade (COF) [Tang et al. 2002]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Motivação</w:t>
      </w:r>
      <w:proofErr w:type="gramEnd"/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Em regiões de baixa densidade, pode ser difícil detectar outliers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Escolher um valor baixo para k muitas vezes não é apropriado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Solução</w:t>
      </w:r>
      <w:proofErr w:type="gramEnd"/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Tratar a "baixa densidade" e o "isolamento" de forma diferente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Exemplo</w:t>
      </w:r>
      <w:proofErr w:type="gramEnd"/>
    </w:p>
    <w:p w:rsidR="008D79AA" w:rsidRDefault="008D79AA" w:rsidP="0094761D">
      <w:pPr>
        <w:spacing w:before="0" w:after="0" w:line="240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E9A74A9" wp14:editId="1AE7BF6F">
            <wp:extent cx="6840220" cy="2128520"/>
            <wp:effectExtent l="57150" t="57150" r="55880" b="6223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2852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156" w:rsidRPr="004F1156" w:rsidRDefault="004F1156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Outlierness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Influenciado (INFLO) [Jin et al. 2006]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Motivação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Se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aglomerados de diferentes densidades não forem claramente separados, a LOF terá problemas</w:t>
      </w:r>
    </w:p>
    <w:p w:rsidR="008D79AA" w:rsidRDefault="008D79AA" w:rsidP="0094761D">
      <w:pPr>
        <w:spacing w:before="0" w:after="0" w:line="240" w:lineRule="auto"/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E7A80F4" wp14:editId="2596F431">
            <wp:extent cx="6677025" cy="1543050"/>
            <wp:effectExtent l="57150" t="57150" r="66675" b="571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54305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Ideia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Leve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em conta a relação simétrica de vizinhança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espaço de influência (kIS(p)) de um ponto p inclui seus kNNs (kNN(p)) e seus kNNs reversos (RkNN(p))</w:t>
      </w:r>
    </w:p>
    <w:p w:rsidR="008D79AA" w:rsidRDefault="008D79AA" w:rsidP="0094761D">
      <w:pPr>
        <w:spacing w:before="0" w:after="0" w:line="240" w:lineRule="auto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BD947A4" wp14:editId="1BD394BE">
            <wp:extent cx="5362575" cy="2009775"/>
            <wp:effectExtent l="57150" t="57150" r="66675" b="666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09775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Modelo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densidade é medida simplesmente pelo inverso da distância kNN, ou seja, den(p) = 1/k-distance(p)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Influenciou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o outlierness de um ponto p</w:t>
      </w:r>
    </w:p>
    <w:p w:rsidR="00C11B23" w:rsidRDefault="00C11B23" w:rsidP="0094761D">
      <w:pPr>
        <w:spacing w:before="0" w:after="0" w:line="240" w:lineRule="auto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DD74479" wp14:editId="2D167495">
            <wp:extent cx="3590925" cy="1114425"/>
            <wp:effectExtent l="57150" t="57150" r="66675" b="666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114425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INFLO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toma a razão entre a densidade média de objetos na vizinhança de um ponto p (ou seja, em kNN</w:t>
      </w:r>
      <w:r w:rsidRPr="004F1156">
        <w:rPr>
          <w:rFonts w:ascii="Calibri" w:eastAsia="Times New Roman" w:hAnsi="Calibri" w:cs="Times New Roman"/>
          <w:color w:val="000000"/>
          <w:lang w:val="pt-PT" w:eastAsia="pt-BR"/>
        </w:rPr>
        <w:t>(p) </w:t>
      </w:r>
      <w:r w:rsidRPr="004F1156">
        <w:rPr>
          <w:rFonts w:ascii="Cambria Math" w:eastAsia="Times New Roman" w:hAnsi="Cambria Math" w:cs="Times New Roman"/>
          <w:color w:val="000000"/>
          <w:lang w:val="pt-PT" w:eastAsia="pt-BR"/>
        </w:rPr>
        <w:t>∪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 RkNN(p)) e a densidade de p</w:t>
      </w:r>
    </w:p>
    <w:p w:rsidR="004F1156" w:rsidRPr="004F1156" w:rsidRDefault="004F1156" w:rsidP="0094761D">
      <w:pPr>
        <w:spacing w:before="0" w:after="0" w:line="240" w:lineRule="auto"/>
        <w:ind w:left="21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Calibri Light" w:eastAsia="Times New Roman" w:hAnsi="Calibri Light" w:cs="Times New Roman"/>
          <w:color w:val="000000"/>
          <w:lang w:eastAsia="pt-BR"/>
        </w:rPr>
        <w:t> 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Algoritmos propostos para mineração de outliers top-n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Baseado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em índice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Abordagem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bidirecional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Abordagem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baseada em micro clusters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Propriedades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Semelhante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ao LOF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INFLO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≈ 1: ponto está em um cluster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INFLO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&gt;&gt; 1: ponto é um outlier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Discussão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Gera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uma pontuação atípica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Originalmente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proposto como uma abordagem local (a resolução do conjunto de referência kIS pode ser ajustada pelo parâmetro de configuração do usuário k)</w:t>
      </w:r>
    </w:p>
    <w:p w:rsidR="004F1156" w:rsidRPr="004F1156" w:rsidRDefault="004F1156" w:rsidP="0094761D">
      <w:pPr>
        <w:spacing w:before="0" w:after="0" w:line="240" w:lineRule="auto"/>
        <w:ind w:left="21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Calibri Light" w:eastAsia="Times New Roman" w:hAnsi="Calibri Light" w:cs="Times New Roman"/>
          <w:color w:val="000000"/>
          <w:lang w:eastAsia="pt-BR"/>
        </w:rPr>
        <w:t> </w:t>
      </w:r>
    </w:p>
    <w:p w:rsidR="004F1156" w:rsidRPr="004F1156" w:rsidRDefault="004F1156" w:rsidP="0094761D">
      <w:pPr>
        <w:spacing w:before="0" w:after="0" w:line="240" w:lineRule="auto"/>
        <w:ind w:left="72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Integral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de correlação local atípica (LOCI) [Papadimitriou et al. 2003]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Ideia é semelhante ao LOF e variantes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Diferenças para LOF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Tome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o ε-bairro em vez de kNNs como conjunto de referência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Teste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várias resoluções (aqui chamadas de "granularidades") do conjunto de referência para se livrar de qualquer parâmetro de entrada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Theme="majorHAnsi" w:eastAsia="Times New Roman" w:hAnsiTheme="majorHAnsi" w:cs="Courier New"/>
          <w:color w:val="000000"/>
          <w:lang w:val="pt-PT" w:eastAsia="pt-BR"/>
        </w:rPr>
      </w:pPr>
      <w:r w:rsidRPr="004F1156">
        <w:rPr>
          <w:rFonts w:asciiTheme="majorHAnsi" w:eastAsia="Times New Roman" w:hAnsiTheme="majorHAnsi" w:cs="Courier New"/>
          <w:color w:val="000000"/>
          <w:lang w:val="pt-PT" w:eastAsia="pt-BR"/>
        </w:rPr>
        <w:t>o Modelo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ε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-vizinhança de um ponto p: N(p,ε) = {q | dist(p,q) ≤ ε}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Densidade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local de um objeto p: número de objetos em N(p,ε)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lastRenderedPageBreak/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Densidade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média do bairro</w:t>
      </w:r>
    </w:p>
    <w:p w:rsidR="00C11B23" w:rsidRPr="00C11B23" w:rsidRDefault="00C11B23" w:rsidP="0094761D">
      <w:pPr>
        <w:spacing w:before="0" w:after="0" w:line="240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7869B8B" wp14:editId="63ADD421">
            <wp:extent cx="3514725" cy="1000125"/>
            <wp:effectExtent l="57150" t="57150" r="66675" b="666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00125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156" w:rsidRDefault="004F1156" w:rsidP="0094761D">
      <w:pPr>
        <w:spacing w:before="0" w:after="0" w:line="240" w:lineRule="auto"/>
        <w:ind w:left="1797"/>
        <w:rPr>
          <w:rFonts w:ascii="Calibri Light" w:eastAsia="Times New Roman" w:hAnsi="Calibri Light" w:cs="Times New Roman"/>
          <w:color w:val="000000"/>
          <w:lang w:val="pt-PT"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Fator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de desvio de multigranularidade (MDEF)</w:t>
      </w:r>
    </w:p>
    <w:p w:rsidR="00C11B23" w:rsidRPr="004F1156" w:rsidRDefault="00C11B23" w:rsidP="0094761D">
      <w:pPr>
        <w:spacing w:before="0" w:after="0" w:line="240" w:lineRule="auto"/>
        <w:rPr>
          <w:rFonts w:ascii="Calibri Light" w:eastAsia="Times New Roman" w:hAnsi="Calibri Light" w:cs="Times New Roman"/>
          <w:color w:val="000000"/>
          <w:lang w:val="pt-PT" w:eastAsia="pt-BR"/>
        </w:rPr>
      </w:pPr>
      <w:r w:rsidRPr="004F1156">
        <w:rPr>
          <w:rFonts w:ascii="Calibri Light" w:eastAsia="Times New Roman" w:hAnsi="Calibri Light" w:cs="Times New Roman"/>
          <w:noProof/>
          <w:color w:val="000000"/>
          <w:lang w:val="pt-PT" w:eastAsia="pt-BR"/>
        </w:rPr>
        <w:drawing>
          <wp:inline distT="0" distB="0" distL="0" distR="0" wp14:anchorId="048DA712" wp14:editId="2FD21FAA">
            <wp:extent cx="6840220" cy="702310"/>
            <wp:effectExtent l="57150" t="57150" r="55880" b="596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0231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79AA" w:rsidRDefault="004F1156" w:rsidP="0094761D">
      <w:pPr>
        <w:pStyle w:val="PargrafodaLista"/>
        <w:numPr>
          <w:ilvl w:val="1"/>
          <w:numId w:val="8"/>
        </w:numPr>
        <w:spacing w:before="0"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Intuição</w:t>
      </w:r>
    </w:p>
    <w:p w:rsidR="00C11B23" w:rsidRDefault="00C11B23" w:rsidP="0094761D">
      <w:pPr>
        <w:spacing w:before="0" w:after="0" w:line="240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F87638D" wp14:editId="10396C2F">
            <wp:extent cx="6840220" cy="2964815"/>
            <wp:effectExtent l="57150" t="57150" r="55880" b="641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64815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alibri" w:eastAsia="Times New Roman" w:hAnsi="Calibri" w:cs="Times New Roman"/>
          <w:color w:val="000000"/>
          <w:lang w:val="pt-PT" w:eastAsia="pt-BR"/>
        </w:rPr>
        <w:t>o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σMDEF(p,ε,α) é o desvio padrão normalizado das densidades de todos os pontos de N(p,ε)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Propriedades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MDEF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= 0 pontos para dentro de um cluster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MDEF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&gt; 0 para outliers ou MDEF &gt; 3.σMDEF =&gt; outlier</w:t>
      </w:r>
    </w:p>
    <w:p w:rsidR="004F1156" w:rsidRPr="004F1156" w:rsidRDefault="004F1156" w:rsidP="0094761D">
      <w:pPr>
        <w:spacing w:before="0" w:after="0" w:line="240" w:lineRule="auto"/>
        <w:ind w:left="1440" w:hanging="360"/>
        <w:rPr>
          <w:rFonts w:ascii="Calibri" w:eastAsia="Times New Roman" w:hAnsi="Calibri" w:cs="Times New Roman"/>
          <w:color w:val="000000"/>
          <w:lang w:val="pt-PT" w:eastAsia="pt-BR"/>
        </w:rPr>
      </w:pPr>
      <w:r w:rsidRPr="004F1156">
        <w:rPr>
          <w:rFonts w:ascii="Courier New" w:eastAsia="Times New Roman" w:hAnsi="Courier New" w:cs="Courier New"/>
          <w:color w:val="000000"/>
          <w:lang w:val="pt-PT" w:eastAsia="pt-BR"/>
        </w:rPr>
        <w:t>o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val="pt-PT" w:eastAsia="pt-BR"/>
        </w:rPr>
        <w:t>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Características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Os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parâmetros ε e α são determinados automaticamente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Na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verdade, todos os valores possíveis para ε são testados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gráfico LOCI exibe para um determinado ponto p os seguintes valores w.r.t. ε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proofErr w:type="gramStart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Cartão(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N(p, α.ε))</w:t>
      </w:r>
    </w:p>
    <w:p w:rsidR="004F1156" w:rsidRPr="004F1156" w:rsidRDefault="004F1156" w:rsidP="0094761D">
      <w:pPr>
        <w:spacing w:before="0" w:after="0" w:line="240" w:lineRule="auto"/>
        <w:ind w:left="288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Symbol" w:eastAsia="Times New Roman" w:hAnsi="Symbol" w:cs="Times New Roman"/>
          <w:color w:val="000000"/>
          <w:lang w:eastAsia="pt-BR"/>
        </w:rPr>
        <w:t>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       </w:t>
      </w:r>
      <w:proofErr w:type="gramStart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den(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p, ε, α) com uma borda de +- 3.σden(p, ε, α)</w:t>
      </w:r>
    </w:p>
    <w:p w:rsidR="004F1156" w:rsidRDefault="004F1156" w:rsidP="0094761D">
      <w:pPr>
        <w:spacing w:before="0" w:after="0" w:line="240" w:lineRule="auto"/>
        <w:rPr>
          <w:rFonts w:asciiTheme="majorHAnsi" w:hAnsiTheme="majorHAnsi" w:cstheme="majorHAnsi"/>
        </w:rPr>
      </w:pPr>
    </w:p>
    <w:p w:rsidR="008D79AA" w:rsidRDefault="00C11B23" w:rsidP="0094761D">
      <w:pPr>
        <w:spacing w:before="0" w:after="0" w:line="240" w:lineRule="auto"/>
        <w:rPr>
          <w:rFonts w:ascii="Arial" w:hAnsi="Arial" w:cs="Arial"/>
          <w:color w:val="037800"/>
          <w:sz w:val="32"/>
          <w:szCs w:val="32"/>
        </w:rPr>
      </w:pPr>
      <w:r>
        <w:rPr>
          <w:noProof/>
        </w:rPr>
        <w:drawing>
          <wp:inline distT="0" distB="0" distL="0" distR="0" wp14:anchorId="048C3063" wp14:editId="01B4614D">
            <wp:extent cx="6840220" cy="1762760"/>
            <wp:effectExtent l="57150" t="57150" r="55880" b="660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6276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156" w:rsidRPr="004F1156" w:rsidRDefault="004F1156" w:rsidP="0094761D">
      <w:pPr>
        <w:pStyle w:val="PargrafodaLista"/>
        <w:numPr>
          <w:ilvl w:val="1"/>
          <w:numId w:val="8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4F1156">
        <w:rPr>
          <w:rFonts w:asciiTheme="majorHAnsi" w:hAnsiTheme="majorHAnsi" w:cstheme="majorHAnsi"/>
        </w:rPr>
        <w:t>Algoritmos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solução exata é bastante cara (calcular valores MDEF para todos os valores ε possíveis)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aLOCI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: solução rápida e aproximada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Discretize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o espaço de dados usando uma grade com comprimento lateral 2αε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Consultas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de intervalo aproximado através de células de grade</w:t>
      </w:r>
    </w:p>
    <w:p w:rsidR="004F1156" w:rsidRDefault="004F1156" w:rsidP="0094761D">
      <w:pPr>
        <w:spacing w:before="0" w:after="0" w:line="240" w:lineRule="auto"/>
        <w:ind w:left="2160" w:hanging="360"/>
        <w:rPr>
          <w:rFonts w:ascii="Calibri Light" w:eastAsia="Times New Roman" w:hAnsi="Calibri Light" w:cs="Times New Roman"/>
          <w:color w:val="000000"/>
          <w:lang w:val="pt-PT"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lastRenderedPageBreak/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ε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- vizinhança do ponto p: ζ(p,ε) todas as células que estão completamente cobertas por ε-esfera aroun p</w:t>
      </w:r>
    </w:p>
    <w:p w:rsidR="004F1156" w:rsidRDefault="004F1156" w:rsidP="0094761D">
      <w:pPr>
        <w:spacing w:before="0" w:after="0" w:line="240" w:lineRule="auto"/>
        <w:rPr>
          <w:rFonts w:ascii="Calibri Light" w:eastAsia="Times New Roman" w:hAnsi="Calibri Light" w:cs="Times New Roman"/>
          <w:color w:val="000000"/>
          <w:lang w:val="pt-PT" w:eastAsia="pt-BR"/>
        </w:rPr>
      </w:pP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Em seguida, </w:t>
      </w:r>
      <w:r>
        <w:rPr>
          <w:noProof/>
        </w:rPr>
        <w:drawing>
          <wp:inline distT="0" distB="0" distL="0" distR="0" wp14:anchorId="22DD7A06" wp14:editId="259EFF97">
            <wp:extent cx="2533650" cy="1021503"/>
            <wp:effectExtent l="57150" t="57150" r="57150" b="6477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7261" cy="1059245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onde cj é o objeto conte a célula correspondente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Uma</w:t>
      </w:r>
      <w:proofErr w:type="gramEnd"/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 vez que diferentes valores de ε são necessários, diferentes grades são construídas com resoluçã</w:t>
      </w:r>
      <w:r>
        <w:rPr>
          <w:rFonts w:ascii="Calibri Light" w:eastAsia="Times New Roman" w:hAnsi="Calibri Light" w:cs="Times New Roman"/>
          <w:color w:val="000000"/>
          <w:lang w:val="pt-PT" w:eastAsia="pt-BR"/>
        </w:rPr>
        <w:t xml:space="preserve">o </w:t>
      </w:r>
      <w:r w:rsidRPr="004F1156">
        <w:rPr>
          <w:rFonts w:ascii="Calibri Light" w:eastAsia="Times New Roman" w:hAnsi="Calibri Light" w:cs="Times New Roman"/>
          <w:color w:val="000000"/>
          <w:lang w:val="pt-PT" w:eastAsia="pt-BR"/>
        </w:rPr>
        <w:t>variável</w:t>
      </w:r>
    </w:p>
    <w:p w:rsidR="004F1156" w:rsidRPr="004F1156" w:rsidRDefault="004F1156" w:rsidP="0094761D">
      <w:pPr>
        <w:spacing w:before="0" w:after="0" w:line="240" w:lineRule="auto"/>
        <w:ind w:left="2160" w:hanging="360"/>
        <w:rPr>
          <w:rFonts w:ascii="Calibri" w:eastAsia="Times New Roman" w:hAnsi="Calibri" w:cs="Times New Roman"/>
          <w:color w:val="000000"/>
          <w:lang w:eastAsia="pt-BR"/>
        </w:rPr>
      </w:pPr>
      <w:proofErr w:type="gramStart"/>
      <w:r w:rsidRPr="004F1156">
        <w:rPr>
          <w:rFonts w:ascii="Wingdings" w:eastAsia="Times New Roman" w:hAnsi="Wingdings" w:cs="Times New Roman"/>
          <w:color w:val="000000"/>
          <w:lang w:eastAsia="pt-BR"/>
        </w:rPr>
        <w:t></w:t>
      </w:r>
      <w:r w:rsidRPr="004F1156">
        <w:rPr>
          <w:rFonts w:ascii="Times New Roman" w:eastAsia="Times New Roman" w:hAnsi="Times New Roman" w:cs="Times New Roman"/>
          <w:color w:val="000000"/>
          <w:sz w:val="14"/>
          <w:szCs w:val="14"/>
          <w:lang w:eastAsia="pt-BR"/>
        </w:rPr>
        <w:t>  </w:t>
      </w:r>
      <w:proofErr w:type="spellStart"/>
      <w:r w:rsidRPr="004F1156">
        <w:rPr>
          <w:rFonts w:ascii="Calibri Light" w:eastAsia="Times New Roman" w:hAnsi="Calibri Light" w:cs="Times New Roman"/>
          <w:color w:val="000000"/>
          <w:lang w:eastAsia="pt-BR"/>
        </w:rPr>
        <w:t>These</w:t>
      </w:r>
      <w:proofErr w:type="spellEnd"/>
      <w:proofErr w:type="gramEnd"/>
      <w:r w:rsidRPr="004F1156">
        <w:rPr>
          <w:rFonts w:ascii="Calibri Light" w:eastAsia="Times New Roman" w:hAnsi="Calibri Light" w:cs="Times New Roman"/>
          <w:color w:val="000000"/>
          <w:lang w:eastAsia="pt-BR"/>
        </w:rPr>
        <w:t xml:space="preserve"> </w:t>
      </w:r>
      <w:proofErr w:type="spellStart"/>
      <w:r w:rsidRPr="004F1156">
        <w:rPr>
          <w:rFonts w:ascii="Calibri Light" w:eastAsia="Times New Roman" w:hAnsi="Calibri Light" w:cs="Times New Roman"/>
          <w:color w:val="000000"/>
          <w:lang w:eastAsia="pt-BR"/>
        </w:rPr>
        <w:t>different</w:t>
      </w:r>
      <w:proofErr w:type="spellEnd"/>
      <w:r w:rsidRPr="004F1156">
        <w:rPr>
          <w:rFonts w:ascii="Calibri Light" w:eastAsia="Times New Roman" w:hAnsi="Calibri Light" w:cs="Times New Roman"/>
          <w:color w:val="000000"/>
          <w:lang w:eastAsia="pt-BR"/>
        </w:rPr>
        <w:t xml:space="preserve"> grids </w:t>
      </w:r>
      <w:proofErr w:type="spellStart"/>
      <w:r w:rsidRPr="004F1156">
        <w:rPr>
          <w:rFonts w:ascii="Calibri Light" w:eastAsia="Times New Roman" w:hAnsi="Calibri Light" w:cs="Times New Roman"/>
          <w:color w:val="000000"/>
          <w:lang w:eastAsia="pt-BR"/>
        </w:rPr>
        <w:t>can</w:t>
      </w:r>
      <w:proofErr w:type="spellEnd"/>
      <w:r w:rsidRPr="004F1156">
        <w:rPr>
          <w:rFonts w:ascii="Calibri Light" w:eastAsia="Times New Roman" w:hAnsi="Calibri Light" w:cs="Times New Roman"/>
          <w:color w:val="000000"/>
          <w:lang w:eastAsia="pt-BR"/>
        </w:rPr>
        <w:t xml:space="preserve"> </w:t>
      </w:r>
      <w:proofErr w:type="spellStart"/>
      <w:r w:rsidRPr="004F1156">
        <w:rPr>
          <w:rFonts w:ascii="Calibri Light" w:eastAsia="Times New Roman" w:hAnsi="Calibri Light" w:cs="Times New Roman"/>
          <w:color w:val="000000"/>
          <w:lang w:eastAsia="pt-BR"/>
        </w:rPr>
        <w:t>be</w:t>
      </w:r>
      <w:proofErr w:type="spellEnd"/>
      <w:r w:rsidRPr="004F1156">
        <w:rPr>
          <w:rFonts w:ascii="Calibri Light" w:eastAsia="Times New Roman" w:hAnsi="Calibri Light" w:cs="Times New Roman"/>
          <w:color w:val="000000"/>
          <w:lang w:eastAsia="pt-BR"/>
        </w:rPr>
        <w:t xml:space="preserve"> </w:t>
      </w:r>
      <w:proofErr w:type="spellStart"/>
      <w:r w:rsidRPr="004F1156">
        <w:rPr>
          <w:rFonts w:ascii="Calibri Light" w:eastAsia="Times New Roman" w:hAnsi="Calibri Light" w:cs="Times New Roman"/>
          <w:color w:val="000000"/>
          <w:lang w:eastAsia="pt-BR"/>
        </w:rPr>
        <w:t>managed</w:t>
      </w:r>
      <w:proofErr w:type="spellEnd"/>
      <w:r w:rsidRPr="004F1156">
        <w:rPr>
          <w:rFonts w:ascii="Calibri Light" w:eastAsia="Times New Roman" w:hAnsi="Calibri Light" w:cs="Times New Roman"/>
          <w:color w:val="000000"/>
          <w:lang w:eastAsia="pt-BR"/>
        </w:rPr>
        <w:t xml:space="preserve"> </w:t>
      </w:r>
      <w:proofErr w:type="spellStart"/>
      <w:r w:rsidRPr="004F1156">
        <w:rPr>
          <w:rFonts w:ascii="Calibri Light" w:eastAsia="Times New Roman" w:hAnsi="Calibri Light" w:cs="Times New Roman"/>
          <w:color w:val="000000"/>
          <w:lang w:eastAsia="pt-BR"/>
        </w:rPr>
        <w:t>efficiently</w:t>
      </w:r>
      <w:proofErr w:type="spellEnd"/>
      <w:r w:rsidRPr="004F1156">
        <w:rPr>
          <w:rFonts w:ascii="Calibri Light" w:eastAsia="Times New Roman" w:hAnsi="Calibri Light" w:cs="Times New Roman"/>
          <w:color w:val="000000"/>
          <w:lang w:eastAsia="pt-BR"/>
        </w:rPr>
        <w:t xml:space="preserve"> </w:t>
      </w:r>
      <w:proofErr w:type="spellStart"/>
      <w:r w:rsidRPr="004F1156">
        <w:rPr>
          <w:rFonts w:ascii="Calibri Light" w:eastAsia="Times New Roman" w:hAnsi="Calibri Light" w:cs="Times New Roman"/>
          <w:color w:val="000000"/>
          <w:lang w:eastAsia="pt-BR"/>
        </w:rPr>
        <w:t>using</w:t>
      </w:r>
      <w:proofErr w:type="spellEnd"/>
      <w:r w:rsidRPr="004F1156">
        <w:rPr>
          <w:rFonts w:ascii="Calibri Light" w:eastAsia="Times New Roman" w:hAnsi="Calibri Light" w:cs="Times New Roman"/>
          <w:color w:val="000000"/>
          <w:lang w:eastAsia="pt-BR"/>
        </w:rPr>
        <w:t xml:space="preserve"> a </w:t>
      </w:r>
      <w:proofErr w:type="spellStart"/>
      <w:r w:rsidRPr="004F1156">
        <w:rPr>
          <w:rFonts w:ascii="Calibri Light" w:eastAsia="Times New Roman" w:hAnsi="Calibri Light" w:cs="Times New Roman"/>
          <w:color w:val="000000"/>
          <w:lang w:eastAsia="pt-BR"/>
        </w:rPr>
        <w:t>Quad-tree</w:t>
      </w:r>
      <w:proofErr w:type="spellEnd"/>
    </w:p>
    <w:p w:rsidR="004F1156" w:rsidRPr="004F1156" w:rsidRDefault="004F1156" w:rsidP="0094761D">
      <w:pPr>
        <w:spacing w:before="0" w:after="0" w:line="240" w:lineRule="auto"/>
        <w:rPr>
          <w:rFonts w:ascii="Calibri" w:eastAsia="Times New Roman" w:hAnsi="Calibri" w:cs="Times New Roman"/>
          <w:color w:val="000000"/>
          <w:lang w:eastAsia="pt-BR"/>
        </w:rPr>
      </w:pPr>
    </w:p>
    <w:p w:rsidR="007D6B0C" w:rsidRDefault="007D6B0C" w:rsidP="0094761D">
      <w:pPr>
        <w:spacing w:before="0" w:after="0" w:line="240" w:lineRule="auto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8DBC14E" wp14:editId="3330D622">
            <wp:extent cx="3362325" cy="2895600"/>
            <wp:effectExtent l="57150" t="57150" r="66675" b="571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89560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156" w:rsidRPr="004F1156" w:rsidRDefault="004F1156" w:rsidP="0094761D">
      <w:pPr>
        <w:pStyle w:val="PargrafodaLista"/>
        <w:numPr>
          <w:ilvl w:val="1"/>
          <w:numId w:val="8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4F1156">
        <w:rPr>
          <w:rFonts w:asciiTheme="majorHAnsi" w:hAnsiTheme="majorHAnsi" w:cstheme="majorHAnsi"/>
        </w:rPr>
        <w:t>Discussão</w:t>
      </w:r>
    </w:p>
    <w:p w:rsidR="004F1156" w:rsidRPr="004F1156" w:rsidRDefault="004F1156" w:rsidP="0094761D">
      <w:pPr>
        <w:pStyle w:val="PargrafodaLista"/>
        <w:numPr>
          <w:ilvl w:val="2"/>
          <w:numId w:val="8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4F1156">
        <w:rPr>
          <w:rFonts w:asciiTheme="majorHAnsi" w:hAnsiTheme="majorHAnsi" w:cstheme="majorHAnsi"/>
        </w:rPr>
        <w:t>Tempo de execução exponencial w.r.t. dimensionalidade de dados</w:t>
      </w:r>
    </w:p>
    <w:p w:rsidR="004F1156" w:rsidRPr="004F1156" w:rsidRDefault="004F1156" w:rsidP="0094761D">
      <w:pPr>
        <w:pStyle w:val="PargrafodaLista"/>
        <w:numPr>
          <w:ilvl w:val="2"/>
          <w:numId w:val="8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4F1156">
        <w:rPr>
          <w:rFonts w:asciiTheme="majorHAnsi" w:hAnsiTheme="majorHAnsi" w:cstheme="majorHAnsi"/>
        </w:rPr>
        <w:t>Saída:</w:t>
      </w:r>
    </w:p>
    <w:p w:rsidR="004F1156" w:rsidRPr="004F1156" w:rsidRDefault="004F1156" w:rsidP="0094761D">
      <w:pPr>
        <w:pStyle w:val="PargrafodaLista"/>
        <w:numPr>
          <w:ilvl w:val="3"/>
          <w:numId w:val="8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4F1156">
        <w:rPr>
          <w:rFonts w:asciiTheme="majorHAnsi" w:hAnsiTheme="majorHAnsi" w:cstheme="majorHAnsi"/>
        </w:rPr>
        <w:t xml:space="preserve">Rótulo: se MDEF de um ponto &gt; </w:t>
      </w:r>
      <w:proofErr w:type="gramStart"/>
      <w:r w:rsidRPr="004F1156">
        <w:rPr>
          <w:rFonts w:asciiTheme="majorHAnsi" w:hAnsiTheme="majorHAnsi" w:cstheme="majorHAnsi"/>
        </w:rPr>
        <w:t>3.σ</w:t>
      </w:r>
      <w:proofErr w:type="gramEnd"/>
      <w:r w:rsidRPr="004F1156">
        <w:rPr>
          <w:rFonts w:asciiTheme="majorHAnsi" w:hAnsiTheme="majorHAnsi" w:cstheme="majorHAnsi"/>
        </w:rPr>
        <w:t>MDEF então este ponto é marcado como outlier</w:t>
      </w:r>
    </w:p>
    <w:p w:rsidR="004F1156" w:rsidRPr="004F1156" w:rsidRDefault="004F1156" w:rsidP="0094761D">
      <w:pPr>
        <w:pStyle w:val="PargrafodaLista"/>
        <w:numPr>
          <w:ilvl w:val="3"/>
          <w:numId w:val="8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4F1156">
        <w:rPr>
          <w:rFonts w:asciiTheme="majorHAnsi" w:hAnsiTheme="majorHAnsi" w:cstheme="majorHAnsi"/>
        </w:rPr>
        <w:t>Gráfico LOCI</w:t>
      </w:r>
    </w:p>
    <w:p w:rsidR="004F1156" w:rsidRPr="004F1156" w:rsidRDefault="004F1156" w:rsidP="0094761D">
      <w:pPr>
        <w:pStyle w:val="PargrafodaLista"/>
        <w:numPr>
          <w:ilvl w:val="4"/>
          <w:numId w:val="8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4F1156">
        <w:rPr>
          <w:rFonts w:asciiTheme="majorHAnsi" w:hAnsiTheme="majorHAnsi" w:cstheme="majorHAnsi"/>
        </w:rPr>
        <w:t>Em qual resolução é um ponto um outlier (se houver)</w:t>
      </w:r>
    </w:p>
    <w:p w:rsidR="004F1156" w:rsidRPr="004F1156" w:rsidRDefault="004F1156" w:rsidP="0094761D">
      <w:pPr>
        <w:pStyle w:val="PargrafodaLista"/>
        <w:numPr>
          <w:ilvl w:val="4"/>
          <w:numId w:val="8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4F1156">
        <w:rPr>
          <w:rFonts w:asciiTheme="majorHAnsi" w:hAnsiTheme="majorHAnsi" w:cstheme="majorHAnsi"/>
        </w:rPr>
        <w:t>Informações adicionais, como diâmetro de clusters, distâncias para clusters, etc.</w:t>
      </w:r>
    </w:p>
    <w:p w:rsidR="004F1156" w:rsidRPr="007D6B0C" w:rsidRDefault="004F1156" w:rsidP="0094761D">
      <w:pPr>
        <w:pStyle w:val="PargrafodaLista"/>
        <w:numPr>
          <w:ilvl w:val="2"/>
          <w:numId w:val="8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4F1156">
        <w:rPr>
          <w:rFonts w:asciiTheme="majorHAnsi" w:hAnsiTheme="majorHAnsi" w:cstheme="majorHAnsi"/>
        </w:rPr>
        <w:t>Todas as resoluções interessantes, ou seja, possíveis valores para ε, (de local para global) são testadas</w:t>
      </w:r>
    </w:p>
    <w:p w:rsidR="007D6B0C" w:rsidRDefault="007D6B0C" w:rsidP="0094761D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</w:p>
    <w:p w:rsidR="00A05AE2" w:rsidRDefault="00563FA7" w:rsidP="0094761D">
      <w:pPr>
        <w:pStyle w:val="Ttulo2"/>
        <w:spacing w:before="0" w:line="240" w:lineRule="auto"/>
        <w:rPr>
          <w:caps w:val="0"/>
        </w:rPr>
      </w:pPr>
      <w:r w:rsidRPr="00563FA7">
        <w:rPr>
          <w:caps w:val="0"/>
        </w:rPr>
        <w:t>Abordagens de alta dimensão</w:t>
      </w:r>
    </w:p>
    <w:p w:rsidR="00563FA7" w:rsidRPr="00563FA7" w:rsidRDefault="00563FA7" w:rsidP="0094761D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o Desafios</w:t>
      </w:r>
    </w:p>
    <w:p w:rsidR="00563FA7" w:rsidRPr="00563FA7" w:rsidRDefault="00563FA7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 Maldição da dimensionalidade</w:t>
      </w:r>
    </w:p>
    <w:p w:rsidR="00563FA7" w:rsidRP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• O contraste relativo entre as distâncias diminui com o aumento da dimensionalidade</w:t>
      </w:r>
    </w:p>
    <w:p w:rsidR="00563FA7" w:rsidRP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• Os dados são muito esparsos, quase todos os pontos são discrepantes</w:t>
      </w:r>
    </w:p>
    <w:p w:rsidR="00563FA7" w:rsidRP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• O conceito de bairro torna-se sem sentido</w:t>
      </w:r>
    </w:p>
    <w:p w:rsidR="00563FA7" w:rsidRPr="00563FA7" w:rsidRDefault="00563FA7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 Soluções</w:t>
      </w:r>
    </w:p>
    <w:p w:rsidR="00563FA7" w:rsidRP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• Use funções de distância mais robustas e encontre outliers de dimensão total</w:t>
      </w:r>
    </w:p>
    <w:p w:rsidR="00563FA7" w:rsidRP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• Encontre outliers em projeções (subespaços) do espaço de recurso original</w:t>
      </w:r>
    </w:p>
    <w:p w:rsidR="00563FA7" w:rsidRPr="00563FA7" w:rsidRDefault="00563FA7" w:rsidP="0094761D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o ABOD – grau outlier baseado em ângulo [</w:t>
      </w:r>
      <w:proofErr w:type="spellStart"/>
      <w:r w:rsidRPr="00563FA7">
        <w:rPr>
          <w:rFonts w:asciiTheme="majorHAnsi" w:hAnsiTheme="majorHAnsi" w:cstheme="majorHAnsi"/>
        </w:rPr>
        <w:t>Kriegel</w:t>
      </w:r>
      <w:proofErr w:type="spellEnd"/>
      <w:r w:rsidRPr="00563FA7">
        <w:rPr>
          <w:rFonts w:asciiTheme="majorHAnsi" w:hAnsiTheme="majorHAnsi" w:cstheme="majorHAnsi"/>
        </w:rPr>
        <w:t xml:space="preserve"> et al. 2008]</w:t>
      </w:r>
    </w:p>
    <w:p w:rsidR="00563FA7" w:rsidRPr="00563FA7" w:rsidRDefault="00563FA7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 Racional</w:t>
      </w:r>
    </w:p>
    <w:p w:rsidR="00563FA7" w:rsidRP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 Os ângulos são mais estáveis ​​do que as distâncias em espaços dimensionais altos (por exemplo, a popularidade de medidas de similaridade baseadas em cosseno para dados de texto)</w:t>
      </w:r>
    </w:p>
    <w:p w:rsidR="00563FA7" w:rsidRP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 O objeto o é um outlier se a maioria dos outros objetos estiver localizada em direções semelhantes</w:t>
      </w:r>
    </w:p>
    <w:p w:rsidR="00563FA7" w:rsidRP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 Objeto o não é atípico se muitos outros objetos estiverem localizados em direções variadas</w:t>
      </w:r>
    </w:p>
    <w:p w:rsidR="00A47E38" w:rsidRPr="00A47E38" w:rsidRDefault="00A47E38" w:rsidP="0094761D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</w:p>
    <w:p w:rsidR="00A05AE2" w:rsidRDefault="00A05AE2" w:rsidP="0094761D">
      <w:pPr>
        <w:autoSpaceDE w:val="0"/>
        <w:autoSpaceDN w:val="0"/>
        <w:adjustRightInd w:val="0"/>
        <w:spacing w:before="0" w:after="0" w:line="240" w:lineRule="auto"/>
        <w:jc w:val="center"/>
        <w:rPr>
          <w:rFonts w:asciiTheme="majorHAnsi" w:hAnsiTheme="majorHAnsi" w:cstheme="majorHAnsi"/>
        </w:rPr>
      </w:pPr>
      <w:r w:rsidRPr="00A47E38">
        <w:rPr>
          <w:noProof/>
        </w:rPr>
        <w:lastRenderedPageBreak/>
        <w:drawing>
          <wp:inline distT="0" distB="0" distL="0" distR="0" wp14:anchorId="7E8DF2B8" wp14:editId="02F0157A">
            <wp:extent cx="6154420" cy="2285340"/>
            <wp:effectExtent l="57150" t="57150" r="55880" b="584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2897" cy="2288488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3FA7" w:rsidRPr="00563FA7" w:rsidRDefault="00563FA7" w:rsidP="0094761D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Suposição básica</w:t>
      </w:r>
    </w:p>
    <w:p w:rsidR="00563FA7" w:rsidRPr="00563FA7" w:rsidRDefault="00563FA7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Outliers estão na borda da distribuição de dados</w:t>
      </w:r>
    </w:p>
    <w:p w:rsidR="00563FA7" w:rsidRPr="00563FA7" w:rsidRDefault="00563FA7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Os pontos normais estão no centro da distribuição de dados</w:t>
      </w:r>
    </w:p>
    <w:p w:rsidR="00A47E38" w:rsidRPr="00563FA7" w:rsidRDefault="00563FA7" w:rsidP="0094761D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Modelo</w:t>
      </w:r>
    </w:p>
    <w:p w:rsidR="00A05AE2" w:rsidRPr="00A47E38" w:rsidRDefault="00A05AE2" w:rsidP="0094761D">
      <w:pPr>
        <w:autoSpaceDE w:val="0"/>
        <w:autoSpaceDN w:val="0"/>
        <w:adjustRightInd w:val="0"/>
        <w:spacing w:before="0" w:after="0" w:line="240" w:lineRule="auto"/>
        <w:jc w:val="center"/>
        <w:rPr>
          <w:rFonts w:asciiTheme="majorHAnsi" w:hAnsiTheme="majorHAnsi" w:cstheme="majorHAnsi"/>
        </w:rPr>
      </w:pPr>
      <w:r w:rsidRPr="00A47E38">
        <w:rPr>
          <w:noProof/>
        </w:rPr>
        <w:drawing>
          <wp:inline distT="0" distB="0" distL="0" distR="0" wp14:anchorId="2C533FAD" wp14:editId="0A122A19">
            <wp:extent cx="2562225" cy="1409700"/>
            <wp:effectExtent l="57150" t="57150" r="66675" b="571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0970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3FA7" w:rsidRPr="00563FA7" w:rsidRDefault="00563FA7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 xml:space="preserve">Considere para um determinado ponto p o ângulo entre </w:t>
      </w:r>
      <w:proofErr w:type="spellStart"/>
      <w:r w:rsidRPr="00563FA7">
        <w:rPr>
          <w:rFonts w:asciiTheme="majorHAnsi" w:hAnsiTheme="majorHAnsi" w:cstheme="majorHAnsi"/>
        </w:rPr>
        <w:t>px</w:t>
      </w:r>
      <w:proofErr w:type="spellEnd"/>
      <w:r w:rsidRPr="00563FA7">
        <w:rPr>
          <w:rFonts w:asciiTheme="majorHAnsi" w:hAnsiTheme="majorHAnsi" w:cstheme="majorHAnsi"/>
        </w:rPr>
        <w:t xml:space="preserve"> e </w:t>
      </w:r>
      <w:proofErr w:type="spellStart"/>
      <w:r w:rsidRPr="00563FA7">
        <w:rPr>
          <w:rFonts w:asciiTheme="majorHAnsi" w:hAnsiTheme="majorHAnsi" w:cstheme="majorHAnsi"/>
        </w:rPr>
        <w:t>py</w:t>
      </w:r>
      <w:proofErr w:type="spellEnd"/>
      <w:r w:rsidRPr="00563FA7">
        <w:rPr>
          <w:rFonts w:asciiTheme="majorHAnsi" w:hAnsiTheme="majorHAnsi" w:cstheme="majorHAnsi"/>
        </w:rPr>
        <w:t xml:space="preserve"> para quaisquer dois x, y do banco de dados</w:t>
      </w:r>
    </w:p>
    <w:p w:rsidR="00563FA7" w:rsidRPr="00563FA7" w:rsidRDefault="00563FA7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Considere o espectro de todos esses ângulos</w:t>
      </w:r>
    </w:p>
    <w:p w:rsidR="00A47E38" w:rsidRPr="00A47E38" w:rsidRDefault="00563FA7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A amplitude deste espectro é uma pontuação para a exceção de um ponto</w:t>
      </w:r>
    </w:p>
    <w:p w:rsidR="00A05AE2" w:rsidRPr="00A47E38" w:rsidRDefault="00A05AE2" w:rsidP="0094761D">
      <w:pPr>
        <w:autoSpaceDE w:val="0"/>
        <w:autoSpaceDN w:val="0"/>
        <w:adjustRightInd w:val="0"/>
        <w:spacing w:before="0" w:after="0" w:line="240" w:lineRule="auto"/>
        <w:jc w:val="center"/>
        <w:rPr>
          <w:rFonts w:asciiTheme="majorHAnsi" w:hAnsiTheme="majorHAnsi" w:cstheme="majorHAnsi"/>
        </w:rPr>
      </w:pPr>
      <w:r w:rsidRPr="00A47E38">
        <w:rPr>
          <w:noProof/>
        </w:rPr>
        <w:drawing>
          <wp:inline distT="0" distB="0" distL="0" distR="0" wp14:anchorId="0AE6C2C6" wp14:editId="51CAD8CE">
            <wp:extent cx="5981700" cy="2971800"/>
            <wp:effectExtent l="57150" t="57150" r="57150" b="571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7180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3FA7" w:rsidRPr="00563FA7" w:rsidRDefault="00563FA7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Medir a variância do espectro angular</w:t>
      </w:r>
    </w:p>
    <w:p w:rsidR="00563FA7" w:rsidRDefault="00563FA7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Ponderado pelas distâncias correspondentes (para conjuntos de dados dimensionais inferiores, onde os ângulos são menos confiáveis)</w:t>
      </w:r>
    </w:p>
    <w:p w:rsidR="00A05AE2" w:rsidRDefault="00A05AE2" w:rsidP="0094761D">
      <w:pPr>
        <w:autoSpaceDE w:val="0"/>
        <w:autoSpaceDN w:val="0"/>
        <w:adjustRightInd w:val="0"/>
        <w:spacing w:before="0" w:after="0" w:line="240" w:lineRule="auto"/>
        <w:jc w:val="center"/>
        <w:rPr>
          <w:rFonts w:asciiTheme="majorHAnsi" w:hAnsiTheme="majorHAnsi" w:cstheme="majorHAnsi"/>
        </w:rPr>
      </w:pPr>
      <w:r w:rsidRPr="00A47E38">
        <w:rPr>
          <w:noProof/>
        </w:rPr>
        <w:lastRenderedPageBreak/>
        <w:drawing>
          <wp:inline distT="0" distB="0" distL="0" distR="0" wp14:anchorId="6C1B793E" wp14:editId="156848A0">
            <wp:extent cx="4495800" cy="2085975"/>
            <wp:effectExtent l="57150" t="57150" r="57150" b="666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85975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3FA7" w:rsidRPr="00563FA7" w:rsidRDefault="00563FA7" w:rsidP="0094761D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Propriedades</w:t>
      </w:r>
    </w:p>
    <w:p w:rsidR="00563FA7" w:rsidRPr="00563FA7" w:rsidRDefault="00563FA7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ABOD pequeno =&gt; outlier</w:t>
      </w:r>
    </w:p>
    <w:p w:rsidR="00563FA7" w:rsidRPr="00563FA7" w:rsidRDefault="00563FA7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Alto ABOD =&gt; nenhum outlier</w:t>
      </w:r>
    </w:p>
    <w:p w:rsidR="00563FA7" w:rsidRPr="00563FA7" w:rsidRDefault="00563FA7" w:rsidP="0094761D">
      <w:pPr>
        <w:pStyle w:val="PargrafodaLista"/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</w:p>
    <w:p w:rsidR="00563FA7" w:rsidRPr="00563FA7" w:rsidRDefault="00563FA7" w:rsidP="0094761D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Algoritmos</w:t>
      </w:r>
    </w:p>
    <w:p w:rsidR="00563FA7" w:rsidRPr="00563FA7" w:rsidRDefault="00563FA7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Algoritmo ingênuo está em O(n3)</w:t>
      </w:r>
    </w:p>
    <w:p w:rsidR="00563FA7" w:rsidRPr="00563FA7" w:rsidRDefault="00563FA7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Algoritmo aproximado baseado em amostragem aleatória para minerar top-n outliers</w:t>
      </w:r>
    </w:p>
    <w:p w:rsidR="00563FA7" w:rsidRP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 xml:space="preserve">Não considere todos os pares de outros pontos </w:t>
      </w:r>
      <w:proofErr w:type="spellStart"/>
      <w:proofErr w:type="gramStart"/>
      <w:r w:rsidRPr="00563FA7">
        <w:rPr>
          <w:rFonts w:asciiTheme="majorHAnsi" w:hAnsiTheme="majorHAnsi" w:cstheme="majorHAnsi"/>
        </w:rPr>
        <w:t>x,y</w:t>
      </w:r>
      <w:proofErr w:type="spellEnd"/>
      <w:proofErr w:type="gramEnd"/>
      <w:r w:rsidRPr="00563FA7">
        <w:rPr>
          <w:rFonts w:asciiTheme="majorHAnsi" w:hAnsiTheme="majorHAnsi" w:cstheme="majorHAnsi"/>
        </w:rPr>
        <w:t xml:space="preserve"> no banco de dados para calcular os ângulos</w:t>
      </w:r>
    </w:p>
    <w:p w:rsidR="00563FA7" w:rsidRP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Calcular ABOD com base em amostras =&gt; limite inferior do ABOD real</w:t>
      </w:r>
    </w:p>
    <w:p w:rsidR="00563FA7" w:rsidRP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Filtre os pontos que têm um limite inferior alto</w:t>
      </w:r>
    </w:p>
    <w:p w:rsidR="00563FA7" w:rsidRP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Refinar (calcular o valor ABOD exato) apenas para um pequeno número de pontos</w:t>
      </w:r>
    </w:p>
    <w:p w:rsidR="00563FA7" w:rsidRPr="00563FA7" w:rsidRDefault="00563FA7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Discussão</w:t>
      </w:r>
    </w:p>
    <w:p w:rsidR="00563FA7" w:rsidRP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Abordagem global para detecção de outliers</w:t>
      </w:r>
    </w:p>
    <w:p w:rsidR="00563FA7" w:rsidRP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Emite uma pontuação atípica</w:t>
      </w:r>
    </w:p>
    <w:p w:rsidR="00563FA7" w:rsidRPr="00563FA7" w:rsidRDefault="00563FA7" w:rsidP="0094761D">
      <w:pPr>
        <w:pStyle w:val="PargrafodaLista"/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</w:p>
    <w:p w:rsidR="00563FA7" w:rsidRPr="00563FA7" w:rsidRDefault="00563FA7" w:rsidP="0094761D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Detecção de subespaço baseado em grade [</w:t>
      </w:r>
      <w:proofErr w:type="spellStart"/>
      <w:r w:rsidRPr="00563FA7">
        <w:rPr>
          <w:rFonts w:asciiTheme="majorHAnsi" w:hAnsiTheme="majorHAnsi" w:cstheme="majorHAnsi"/>
        </w:rPr>
        <w:t>Aggarwal</w:t>
      </w:r>
      <w:proofErr w:type="spellEnd"/>
      <w:r w:rsidRPr="00563FA7">
        <w:rPr>
          <w:rFonts w:asciiTheme="majorHAnsi" w:hAnsiTheme="majorHAnsi" w:cstheme="majorHAnsi"/>
        </w:rPr>
        <w:t xml:space="preserve"> e Yu 2000]</w:t>
      </w:r>
    </w:p>
    <w:p w:rsidR="00563FA7" w:rsidRPr="00563FA7" w:rsidRDefault="00563FA7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Modelo</w:t>
      </w:r>
    </w:p>
    <w:p w:rsidR="00563FA7" w:rsidRP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>Espaço de dados de partição por uma grade de profundidade equivalente (Φ = número de células em cada dimensão)</w:t>
      </w:r>
    </w:p>
    <w:p w:rsid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 xml:space="preserve">Coeficiente de </w:t>
      </w:r>
      <w:proofErr w:type="spellStart"/>
      <w:r w:rsidRPr="00563FA7">
        <w:rPr>
          <w:rFonts w:asciiTheme="majorHAnsi" w:hAnsiTheme="majorHAnsi" w:cstheme="majorHAnsi"/>
        </w:rPr>
        <w:t>esparsidade</w:t>
      </w:r>
      <w:proofErr w:type="spellEnd"/>
      <w:r w:rsidRPr="00563FA7">
        <w:rPr>
          <w:rFonts w:asciiTheme="majorHAnsi" w:hAnsiTheme="majorHAnsi" w:cstheme="majorHAnsi"/>
        </w:rPr>
        <w:t xml:space="preserve"> S(C) para uma célula </w:t>
      </w:r>
      <w:proofErr w:type="gramStart"/>
      <w:r w:rsidRPr="00563FA7">
        <w:rPr>
          <w:rFonts w:asciiTheme="majorHAnsi" w:hAnsiTheme="majorHAnsi" w:cstheme="majorHAnsi"/>
        </w:rPr>
        <w:t>de grade k</w:t>
      </w:r>
      <w:proofErr w:type="gramEnd"/>
      <w:r w:rsidRPr="00563FA7">
        <w:rPr>
          <w:rFonts w:asciiTheme="majorHAnsi" w:hAnsiTheme="majorHAnsi" w:cstheme="majorHAnsi"/>
        </w:rPr>
        <w:t>-dimensional C</w:t>
      </w:r>
    </w:p>
    <w:p w:rsidR="00563FA7" w:rsidRPr="00563FA7" w:rsidRDefault="00563FA7" w:rsidP="0094761D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</w:p>
    <w:p w:rsidR="00A47E38" w:rsidRPr="00A47E38" w:rsidRDefault="00A47E38" w:rsidP="0094761D">
      <w:pPr>
        <w:pStyle w:val="PargrafodaLista"/>
        <w:autoSpaceDE w:val="0"/>
        <w:autoSpaceDN w:val="0"/>
        <w:adjustRightInd w:val="0"/>
        <w:spacing w:before="0" w:after="0" w:line="240" w:lineRule="auto"/>
        <w:ind w:left="1440"/>
        <w:rPr>
          <w:rFonts w:asciiTheme="majorHAnsi" w:hAnsiTheme="majorHAnsi" w:cstheme="majorHAnsi"/>
        </w:rPr>
      </w:pPr>
    </w:p>
    <w:p w:rsidR="00563FA7" w:rsidRPr="00563FA7" w:rsidRDefault="00A47E38" w:rsidP="0094761D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E975095" wp14:editId="2D04539E">
            <wp:extent cx="3190875" cy="1066800"/>
            <wp:effectExtent l="57150" t="57150" r="66675" b="5715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6680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63FA7">
        <w:rPr>
          <w:rFonts w:asciiTheme="majorHAnsi" w:hAnsiTheme="majorHAnsi" w:cstheme="majorHAnsi"/>
        </w:rPr>
        <w:t xml:space="preserve">, </w:t>
      </w:r>
      <w:r w:rsidR="00563FA7" w:rsidRPr="00563FA7">
        <w:rPr>
          <w:rFonts w:asciiTheme="majorHAnsi" w:hAnsiTheme="majorHAnsi" w:cstheme="majorHAnsi"/>
        </w:rPr>
        <w:t xml:space="preserve">onde </w:t>
      </w:r>
      <w:proofErr w:type="spellStart"/>
      <w:r w:rsidR="00563FA7" w:rsidRPr="00563FA7">
        <w:rPr>
          <w:rFonts w:asciiTheme="majorHAnsi" w:hAnsiTheme="majorHAnsi" w:cstheme="majorHAnsi"/>
        </w:rPr>
        <w:t>count</w:t>
      </w:r>
      <w:proofErr w:type="spellEnd"/>
      <w:r w:rsidR="00563FA7" w:rsidRPr="00563FA7">
        <w:rPr>
          <w:rFonts w:asciiTheme="majorHAnsi" w:hAnsiTheme="majorHAnsi" w:cstheme="majorHAnsi"/>
        </w:rPr>
        <w:t>(C) é o número de objetos de dados em C</w:t>
      </w:r>
    </w:p>
    <w:p w:rsidR="00563FA7" w:rsidRPr="00563FA7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 xml:space="preserve">S(C) &lt; 0 =&gt; </w:t>
      </w:r>
      <w:proofErr w:type="spellStart"/>
      <w:r w:rsidRPr="00563FA7">
        <w:rPr>
          <w:rFonts w:asciiTheme="majorHAnsi" w:hAnsiTheme="majorHAnsi" w:cstheme="majorHAnsi"/>
        </w:rPr>
        <w:t>count</w:t>
      </w:r>
      <w:proofErr w:type="spellEnd"/>
      <w:r w:rsidRPr="00563FA7">
        <w:rPr>
          <w:rFonts w:asciiTheme="majorHAnsi" w:hAnsiTheme="majorHAnsi" w:cstheme="majorHAnsi"/>
        </w:rPr>
        <w:t>(C) é menor que o esperado</w:t>
      </w:r>
    </w:p>
    <w:p w:rsidR="00F83CE8" w:rsidRDefault="00563FA7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563FA7">
        <w:rPr>
          <w:rFonts w:asciiTheme="majorHAnsi" w:hAnsiTheme="majorHAnsi" w:cstheme="majorHAnsi"/>
        </w:rPr>
        <w:t xml:space="preserve">Outliers são aqueles objetos que estão localizados em células de menor dimensão com coeficiente de </w:t>
      </w:r>
      <w:proofErr w:type="spellStart"/>
      <w:r w:rsidRPr="00563FA7">
        <w:rPr>
          <w:rFonts w:asciiTheme="majorHAnsi" w:hAnsiTheme="majorHAnsi" w:cstheme="majorHAnsi"/>
        </w:rPr>
        <w:t>esparsidade</w:t>
      </w:r>
      <w:proofErr w:type="spellEnd"/>
      <w:r w:rsidRPr="00563FA7">
        <w:rPr>
          <w:rFonts w:asciiTheme="majorHAnsi" w:hAnsiTheme="majorHAnsi" w:cstheme="majorHAnsi"/>
        </w:rPr>
        <w:t xml:space="preserve"> negativo</w:t>
      </w:r>
    </w:p>
    <w:p w:rsidR="00A05AE2" w:rsidRDefault="00A47E38" w:rsidP="0094761D">
      <w:pPr>
        <w:pStyle w:val="PargrafodaLista"/>
        <w:autoSpaceDE w:val="0"/>
        <w:autoSpaceDN w:val="0"/>
        <w:adjustRightInd w:val="0"/>
        <w:spacing w:before="0" w:after="0" w:line="240" w:lineRule="auto"/>
        <w:ind w:left="2160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572FA97" wp14:editId="796CAC70">
            <wp:extent cx="4171950" cy="2590800"/>
            <wp:effectExtent l="57150" t="57150" r="57150" b="571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9080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3CE8" w:rsidRPr="00F83CE8" w:rsidRDefault="00F83CE8" w:rsidP="0094761D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>Algoritmo</w:t>
      </w:r>
    </w:p>
    <w:p w:rsidR="00F83CE8" w:rsidRPr="00F83CE8" w:rsidRDefault="00F83CE8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 xml:space="preserve">Encontre as m células da grade (projeções) com os menores coeficientes de </w:t>
      </w:r>
      <w:proofErr w:type="spellStart"/>
      <w:r w:rsidRPr="00F83CE8">
        <w:rPr>
          <w:rFonts w:asciiTheme="majorHAnsi" w:hAnsiTheme="majorHAnsi" w:cstheme="majorHAnsi"/>
        </w:rPr>
        <w:t>esparsidade</w:t>
      </w:r>
      <w:proofErr w:type="spellEnd"/>
    </w:p>
    <w:p w:rsidR="00F83CE8" w:rsidRPr="00F83CE8" w:rsidRDefault="00F83CE8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>O algoritmo de força bruta está em O(</w:t>
      </w:r>
      <w:proofErr w:type="spellStart"/>
      <w:r w:rsidRPr="00F83CE8">
        <w:rPr>
          <w:rFonts w:asciiTheme="majorHAnsi" w:hAnsiTheme="majorHAnsi" w:cstheme="majorHAnsi"/>
        </w:rPr>
        <w:t>Φd</w:t>
      </w:r>
      <w:proofErr w:type="spellEnd"/>
      <w:r w:rsidRPr="00F83CE8">
        <w:rPr>
          <w:rFonts w:asciiTheme="majorHAnsi" w:hAnsiTheme="majorHAnsi" w:cstheme="majorHAnsi"/>
        </w:rPr>
        <w:t>)</w:t>
      </w:r>
    </w:p>
    <w:p w:rsidR="00F83CE8" w:rsidRPr="00F83CE8" w:rsidRDefault="00F83CE8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>Algoritmo Evolutivo (entrada: m e a dimensionalidade das células)</w:t>
      </w:r>
    </w:p>
    <w:p w:rsidR="00F83CE8" w:rsidRPr="00F83CE8" w:rsidRDefault="00F83CE8" w:rsidP="0094761D">
      <w:pPr>
        <w:pStyle w:val="PargrafodaLista"/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</w:p>
    <w:p w:rsidR="00F83CE8" w:rsidRPr="00F83CE8" w:rsidRDefault="00F83CE8" w:rsidP="0094761D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>Discussão</w:t>
      </w:r>
    </w:p>
    <w:p w:rsidR="00F83CE8" w:rsidRPr="00F83CE8" w:rsidRDefault="00F83CE8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>Os resultados não precisam ser os pontos das células ideais</w:t>
      </w:r>
    </w:p>
    <w:p w:rsidR="00F83CE8" w:rsidRPr="00F83CE8" w:rsidRDefault="00F83CE8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>Modelo muito grosseiro (todos os objetos que estão na célula com menos pontos do que o esperado)</w:t>
      </w:r>
    </w:p>
    <w:p w:rsidR="00F83CE8" w:rsidRPr="00F83CE8" w:rsidRDefault="00F83CE8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>A qualidade depende da resolução da grade e da posição da grade</w:t>
      </w:r>
    </w:p>
    <w:p w:rsidR="00F83CE8" w:rsidRPr="00F83CE8" w:rsidRDefault="00F83CE8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>Emite uma rotulagem</w:t>
      </w:r>
    </w:p>
    <w:p w:rsidR="00F83CE8" w:rsidRPr="00F83CE8" w:rsidRDefault="00F83CE8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>Implementa uma abordagem global (critério chave: número globalmente esperado de pontos dentro de uma célula)</w:t>
      </w:r>
    </w:p>
    <w:p w:rsidR="00F83CE8" w:rsidRPr="00F83CE8" w:rsidRDefault="00F83CE8" w:rsidP="0094761D">
      <w:pPr>
        <w:pStyle w:val="PargrafodaLista"/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</w:p>
    <w:p w:rsidR="00F83CE8" w:rsidRPr="00F83CE8" w:rsidRDefault="00F83CE8" w:rsidP="0094761D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 xml:space="preserve">SOD – grau outlier </w:t>
      </w:r>
      <w:proofErr w:type="spellStart"/>
      <w:r w:rsidRPr="00F83CE8">
        <w:rPr>
          <w:rFonts w:asciiTheme="majorHAnsi" w:hAnsiTheme="majorHAnsi" w:cstheme="majorHAnsi"/>
        </w:rPr>
        <w:t>subespacial</w:t>
      </w:r>
      <w:proofErr w:type="spellEnd"/>
      <w:r w:rsidRPr="00F83CE8">
        <w:rPr>
          <w:rFonts w:asciiTheme="majorHAnsi" w:hAnsiTheme="majorHAnsi" w:cstheme="majorHAnsi"/>
        </w:rPr>
        <w:t xml:space="preserve"> [</w:t>
      </w:r>
      <w:proofErr w:type="spellStart"/>
      <w:r w:rsidRPr="00F83CE8">
        <w:rPr>
          <w:rFonts w:asciiTheme="majorHAnsi" w:hAnsiTheme="majorHAnsi" w:cstheme="majorHAnsi"/>
        </w:rPr>
        <w:t>Kriegel</w:t>
      </w:r>
      <w:proofErr w:type="spellEnd"/>
      <w:r w:rsidRPr="00F83CE8">
        <w:rPr>
          <w:rFonts w:asciiTheme="majorHAnsi" w:hAnsiTheme="majorHAnsi" w:cstheme="majorHAnsi"/>
        </w:rPr>
        <w:t xml:space="preserve"> et al. 2009]</w:t>
      </w:r>
    </w:p>
    <w:p w:rsidR="00F83CE8" w:rsidRPr="00F83CE8" w:rsidRDefault="00F83CE8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>Motivação: Outliers podem ser visíveis apenas em subespaços dos dados originais</w:t>
      </w:r>
    </w:p>
    <w:p w:rsidR="00F83CE8" w:rsidRPr="00F83CE8" w:rsidRDefault="00F83CE8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>Modelo</w:t>
      </w:r>
    </w:p>
    <w:p w:rsidR="00F83CE8" w:rsidRPr="00F83CE8" w:rsidRDefault="00F83CE8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 xml:space="preserve">Calcular o subespaço no qual os </w:t>
      </w:r>
      <w:proofErr w:type="spellStart"/>
      <w:r w:rsidRPr="00F83CE8">
        <w:rPr>
          <w:rFonts w:asciiTheme="majorHAnsi" w:hAnsiTheme="majorHAnsi" w:cstheme="majorHAnsi"/>
        </w:rPr>
        <w:t>kNNs</w:t>
      </w:r>
      <w:proofErr w:type="spellEnd"/>
      <w:r w:rsidRPr="00F83CE8">
        <w:rPr>
          <w:rFonts w:asciiTheme="majorHAnsi" w:hAnsiTheme="majorHAnsi" w:cstheme="majorHAnsi"/>
        </w:rPr>
        <w:t xml:space="preserve"> de um ponto p minimizam a variância</w:t>
      </w:r>
    </w:p>
    <w:p w:rsidR="00F83CE8" w:rsidRPr="00F83CE8" w:rsidRDefault="00F83CE8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>Calcule o hiperplano p)) que é ortogonal a esse subespaço</w:t>
      </w:r>
    </w:p>
    <w:p w:rsidR="00F83CE8" w:rsidRPr="00F83CE8" w:rsidRDefault="00F83CE8" w:rsidP="0094761D">
      <w:pPr>
        <w:pStyle w:val="PargrafodaLista"/>
        <w:numPr>
          <w:ilvl w:val="2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 xml:space="preserve">Tome a distância de p ao hiperplano como medida para sua </w:t>
      </w:r>
      <w:proofErr w:type="spellStart"/>
      <w:proofErr w:type="gramStart"/>
      <w:r w:rsidRPr="00F83CE8">
        <w:rPr>
          <w:rFonts w:asciiTheme="majorHAnsi" w:hAnsiTheme="majorHAnsi" w:cstheme="majorHAnsi"/>
        </w:rPr>
        <w:t>dist</w:t>
      </w:r>
      <w:proofErr w:type="spellEnd"/>
      <w:r w:rsidRPr="00F83CE8">
        <w:rPr>
          <w:rFonts w:asciiTheme="majorHAnsi" w:hAnsiTheme="majorHAnsi" w:cstheme="majorHAnsi"/>
        </w:rPr>
        <w:t>(</w:t>
      </w:r>
      <w:proofErr w:type="gramEnd"/>
      <w:r w:rsidRPr="00F83CE8">
        <w:rPr>
          <w:rFonts w:asciiTheme="majorHAnsi" w:hAnsiTheme="majorHAnsi" w:cstheme="majorHAnsi"/>
        </w:rPr>
        <w:t>H (</w:t>
      </w:r>
      <w:proofErr w:type="spellStart"/>
      <w:r w:rsidRPr="00F83CE8">
        <w:rPr>
          <w:rFonts w:asciiTheme="majorHAnsi" w:hAnsiTheme="majorHAnsi" w:cstheme="majorHAnsi"/>
        </w:rPr>
        <w:t>kNN</w:t>
      </w:r>
      <w:proofErr w:type="spellEnd"/>
      <w:r w:rsidRPr="00F83CE8">
        <w:rPr>
          <w:rFonts w:asciiTheme="majorHAnsi" w:hAnsiTheme="majorHAnsi" w:cstheme="majorHAnsi"/>
        </w:rPr>
        <w:t>(p) “</w:t>
      </w:r>
      <w:proofErr w:type="spellStart"/>
      <w:r w:rsidRPr="00F83CE8">
        <w:rPr>
          <w:rFonts w:asciiTheme="majorHAnsi" w:hAnsiTheme="majorHAnsi" w:cstheme="majorHAnsi"/>
        </w:rPr>
        <w:t>outlierness</w:t>
      </w:r>
      <w:proofErr w:type="spellEnd"/>
      <w:r w:rsidRPr="00F83CE8">
        <w:rPr>
          <w:rFonts w:asciiTheme="majorHAnsi" w:hAnsiTheme="majorHAnsi" w:cstheme="majorHAnsi"/>
        </w:rPr>
        <w:t>”</w:t>
      </w:r>
    </w:p>
    <w:p w:rsidR="00A47E38" w:rsidRPr="00A47E38" w:rsidRDefault="00A47E38" w:rsidP="0094761D">
      <w:pPr>
        <w:autoSpaceDE w:val="0"/>
        <w:autoSpaceDN w:val="0"/>
        <w:adjustRightInd w:val="0"/>
        <w:spacing w:before="0" w:after="0" w:line="240" w:lineRule="auto"/>
        <w:jc w:val="center"/>
        <w:rPr>
          <w:rFonts w:asciiTheme="majorHAnsi" w:hAnsiTheme="majorHAnsi" w:cstheme="majorHAnsi"/>
        </w:rPr>
      </w:pPr>
    </w:p>
    <w:p w:rsidR="00A05AE2" w:rsidRPr="00A47E38" w:rsidRDefault="003E6340" w:rsidP="0094761D">
      <w:pPr>
        <w:autoSpaceDE w:val="0"/>
        <w:autoSpaceDN w:val="0"/>
        <w:adjustRightInd w:val="0"/>
        <w:spacing w:before="0" w:after="0" w:line="240" w:lineRule="auto"/>
        <w:ind w:left="360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5B666B2" wp14:editId="00DFF954">
            <wp:extent cx="2486025" cy="2457450"/>
            <wp:effectExtent l="57150" t="57150" r="66675" b="5715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5745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CB2DB" wp14:editId="198E98EC">
            <wp:extent cx="3009900" cy="2580971"/>
            <wp:effectExtent l="57150" t="57150" r="57150" b="4826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6350" cy="2586502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3CE8" w:rsidRPr="00F83CE8" w:rsidRDefault="00F83CE8" w:rsidP="0094761D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>Discussão</w:t>
      </w:r>
    </w:p>
    <w:p w:rsidR="00F83CE8" w:rsidRPr="00F83CE8" w:rsidRDefault="00F83CE8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 xml:space="preserve">Assume que </w:t>
      </w:r>
      <w:proofErr w:type="spellStart"/>
      <w:r w:rsidRPr="00F83CE8">
        <w:rPr>
          <w:rFonts w:asciiTheme="majorHAnsi" w:hAnsiTheme="majorHAnsi" w:cstheme="majorHAnsi"/>
        </w:rPr>
        <w:t>kNNs</w:t>
      </w:r>
      <w:proofErr w:type="spellEnd"/>
      <w:r w:rsidRPr="00F83CE8">
        <w:rPr>
          <w:rFonts w:asciiTheme="majorHAnsi" w:hAnsiTheme="majorHAnsi" w:cstheme="majorHAnsi"/>
        </w:rPr>
        <w:t xml:space="preserve"> de outliers têm uma projeção de dimensão inferior com pequena variância</w:t>
      </w:r>
    </w:p>
    <w:p w:rsidR="00F83CE8" w:rsidRPr="00F83CE8" w:rsidRDefault="00F83CE8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>A resolução é local (pode ser ajustada pelo usuário através do parâmetro k)</w:t>
      </w:r>
    </w:p>
    <w:p w:rsidR="003E6340" w:rsidRDefault="00F83CE8" w:rsidP="0094761D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</w:rPr>
      </w:pPr>
      <w:r w:rsidRPr="00F83CE8">
        <w:rPr>
          <w:rFonts w:asciiTheme="majorHAnsi" w:hAnsiTheme="majorHAnsi" w:cstheme="majorHAnsi"/>
        </w:rPr>
        <w:t>A saída é uma pontuação (valor SOD)</w:t>
      </w:r>
    </w:p>
    <w:p w:rsidR="003E6340" w:rsidRDefault="00F83CE8" w:rsidP="0094761D">
      <w:pPr>
        <w:pStyle w:val="Ttulo2"/>
        <w:spacing w:before="0" w:line="240" w:lineRule="auto"/>
      </w:pPr>
      <w:r w:rsidRPr="00F83CE8">
        <w:rPr>
          <w:caps w:val="0"/>
        </w:rPr>
        <w:t>Resumo</w:t>
      </w:r>
    </w:p>
    <w:p w:rsidR="00F83CE8" w:rsidRDefault="00F83CE8" w:rsidP="0094761D">
      <w:pPr>
        <w:pStyle w:val="PargrafodaLista"/>
        <w:numPr>
          <w:ilvl w:val="0"/>
          <w:numId w:val="13"/>
        </w:numPr>
        <w:spacing w:before="0" w:after="0" w:line="240" w:lineRule="auto"/>
      </w:pPr>
      <w:r>
        <w:t>Diferentes modelos são baseados em diferentes suposições para modelar outliers</w:t>
      </w:r>
    </w:p>
    <w:p w:rsidR="00F83CE8" w:rsidRDefault="00F83CE8" w:rsidP="0094761D">
      <w:pPr>
        <w:pStyle w:val="PargrafodaLista"/>
        <w:numPr>
          <w:ilvl w:val="0"/>
          <w:numId w:val="13"/>
        </w:numPr>
        <w:spacing w:before="0" w:after="0" w:line="240" w:lineRule="auto"/>
      </w:pPr>
      <w:r>
        <w:t>Diferentes modelos fornecem diferentes tipos de saída (rotulagem/pontuação)</w:t>
      </w:r>
    </w:p>
    <w:p w:rsidR="00F83CE8" w:rsidRDefault="00F83CE8" w:rsidP="0094761D">
      <w:pPr>
        <w:pStyle w:val="PargrafodaLista"/>
        <w:numPr>
          <w:ilvl w:val="0"/>
          <w:numId w:val="13"/>
        </w:numPr>
        <w:spacing w:before="0" w:after="0" w:line="240" w:lineRule="auto"/>
      </w:pPr>
      <w:r>
        <w:t>Diferentes modelos consideram outlier em diferentes resoluções (global/local)</w:t>
      </w:r>
    </w:p>
    <w:p w:rsidR="00F83CE8" w:rsidRDefault="00F83CE8" w:rsidP="0094761D">
      <w:pPr>
        <w:pStyle w:val="PargrafodaLista"/>
        <w:numPr>
          <w:ilvl w:val="0"/>
          <w:numId w:val="13"/>
        </w:numPr>
        <w:spacing w:before="0" w:after="0" w:line="240" w:lineRule="auto"/>
      </w:pPr>
      <w:r>
        <w:t>Assim, modelos diferentes produzirão resultados diferentes</w:t>
      </w:r>
    </w:p>
    <w:p w:rsidR="00F83CE8" w:rsidRPr="00F83CE8" w:rsidRDefault="00F83CE8" w:rsidP="0094761D">
      <w:pPr>
        <w:pStyle w:val="PargrafodaLista"/>
        <w:numPr>
          <w:ilvl w:val="0"/>
          <w:numId w:val="13"/>
        </w:numPr>
        <w:spacing w:before="0" w:after="0" w:line="240" w:lineRule="auto"/>
      </w:pPr>
      <w:r>
        <w:t>Ainda falta uma comparação completa e abrangente entre diferentes modelos e abordagens</w:t>
      </w:r>
    </w:p>
    <w:p w:rsidR="00F83CE8" w:rsidRDefault="00F83CE8" w:rsidP="0094761D">
      <w:pPr>
        <w:spacing w:before="0" w:after="0" w:line="240" w:lineRule="auto"/>
        <w:ind w:left="360"/>
      </w:pPr>
    </w:p>
    <w:p w:rsidR="003E6340" w:rsidRPr="00F83CE8" w:rsidRDefault="003E6340" w:rsidP="0094761D">
      <w:pPr>
        <w:spacing w:before="0" w:after="0" w:line="240" w:lineRule="auto"/>
        <w:ind w:left="360"/>
        <w:rPr>
          <w:sz w:val="40"/>
          <w:szCs w:val="40"/>
        </w:rPr>
      </w:pPr>
      <w:r>
        <w:t>Outlook</w:t>
      </w:r>
    </w:p>
    <w:p w:rsidR="00F83CE8" w:rsidRDefault="00F83CE8" w:rsidP="0094761D">
      <w:pPr>
        <w:pStyle w:val="PargrafodaLista"/>
        <w:numPr>
          <w:ilvl w:val="0"/>
          <w:numId w:val="13"/>
        </w:numPr>
        <w:spacing w:before="0" w:after="0" w:line="240" w:lineRule="auto"/>
      </w:pPr>
      <w:r>
        <w:t>Avaliação experimental de diferentes abordagens para entender e comparar diferenças e propriedades comuns</w:t>
      </w:r>
    </w:p>
    <w:p w:rsidR="00F83CE8" w:rsidRDefault="00F83CE8" w:rsidP="0094761D">
      <w:pPr>
        <w:pStyle w:val="PargrafodaLista"/>
        <w:numPr>
          <w:ilvl w:val="0"/>
          <w:numId w:val="13"/>
        </w:numPr>
        <w:spacing w:before="0" w:after="0" w:line="240" w:lineRule="auto"/>
      </w:pPr>
      <w:r>
        <w:t xml:space="preserve">Um primeiro passo para a unificação das diversas abordagens: </w:t>
      </w:r>
      <w:proofErr w:type="spellStart"/>
      <w:r>
        <w:t>fornecer</w:t>
      </w:r>
      <w:proofErr w:type="spellEnd"/>
      <w:r>
        <w:t xml:space="preserve"> pontuações discrepantes baseadas em densidade como valores de probabilidade [</w:t>
      </w:r>
      <w:proofErr w:type="spellStart"/>
      <w:r>
        <w:t>Kriegel</w:t>
      </w:r>
      <w:proofErr w:type="spellEnd"/>
      <w:r>
        <w:t xml:space="preserve"> et al. 2009a]: julgar o desvio da pontuação atípica em relação ao valor esperado</w:t>
      </w:r>
    </w:p>
    <w:p w:rsidR="00F83CE8" w:rsidRDefault="00F83CE8" w:rsidP="0094761D">
      <w:pPr>
        <w:pStyle w:val="PargrafodaLista"/>
        <w:numPr>
          <w:ilvl w:val="0"/>
          <w:numId w:val="13"/>
        </w:numPr>
        <w:spacing w:before="0" w:after="0" w:line="240" w:lineRule="auto"/>
      </w:pPr>
      <w:r>
        <w:t>Visualização [</w:t>
      </w:r>
      <w:proofErr w:type="spellStart"/>
      <w:r>
        <w:t>Achtert</w:t>
      </w:r>
      <w:proofErr w:type="spellEnd"/>
      <w:r>
        <w:t xml:space="preserve"> et al. 2010]</w:t>
      </w:r>
    </w:p>
    <w:p w:rsidR="00F83CE8" w:rsidRDefault="00F83CE8" w:rsidP="0094761D">
      <w:pPr>
        <w:pStyle w:val="PargrafodaLista"/>
        <w:numPr>
          <w:ilvl w:val="0"/>
          <w:numId w:val="13"/>
        </w:numPr>
        <w:spacing w:before="0" w:after="0" w:line="240" w:lineRule="auto"/>
      </w:pPr>
      <w:r>
        <w:t>Novos modelos</w:t>
      </w:r>
    </w:p>
    <w:p w:rsidR="00F83CE8" w:rsidRDefault="00F83CE8" w:rsidP="0094761D">
      <w:pPr>
        <w:pStyle w:val="PargrafodaLista"/>
        <w:numPr>
          <w:ilvl w:val="0"/>
          <w:numId w:val="13"/>
        </w:numPr>
        <w:spacing w:before="0" w:after="0" w:line="240" w:lineRule="auto"/>
      </w:pPr>
      <w:r>
        <w:t>Problemas de desempenho</w:t>
      </w:r>
    </w:p>
    <w:p w:rsidR="00F83CE8" w:rsidRDefault="00F83CE8" w:rsidP="0094761D">
      <w:pPr>
        <w:pStyle w:val="PargrafodaLista"/>
        <w:numPr>
          <w:ilvl w:val="0"/>
          <w:numId w:val="13"/>
        </w:numPr>
        <w:spacing w:before="0" w:after="0" w:line="240" w:lineRule="auto"/>
      </w:pPr>
      <w:r>
        <w:t>Tipos de dados complexos</w:t>
      </w:r>
    </w:p>
    <w:p w:rsidR="00A05AE2" w:rsidRPr="003E6340" w:rsidRDefault="00F83CE8" w:rsidP="0094761D">
      <w:pPr>
        <w:pStyle w:val="PargrafodaLista"/>
        <w:numPr>
          <w:ilvl w:val="0"/>
          <w:numId w:val="13"/>
        </w:numPr>
        <w:spacing w:before="0" w:after="0" w:line="240" w:lineRule="auto"/>
      </w:pPr>
      <w:r>
        <w:t>Dados de alta dimensão</w:t>
      </w:r>
      <w:r w:rsidR="003E6340">
        <w:rPr>
          <w:noProof/>
        </w:rPr>
        <w:drawing>
          <wp:inline distT="0" distB="0" distL="0" distR="0" wp14:anchorId="350A05BA" wp14:editId="06490B1A">
            <wp:extent cx="5686425" cy="2838450"/>
            <wp:effectExtent l="57150" t="57150" r="66675" b="571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38450"/>
                    </a:xfrm>
                    <a:prstGeom prst="rect">
                      <a:avLst/>
                    </a:prstGeom>
                    <a:ln w="571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05AE2" w:rsidRPr="003E6340" w:rsidSect="000D12B7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C6789"/>
    <w:multiLevelType w:val="hybridMultilevel"/>
    <w:tmpl w:val="9DD22A9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6F3472"/>
    <w:multiLevelType w:val="hybridMultilevel"/>
    <w:tmpl w:val="E4F41A74"/>
    <w:lvl w:ilvl="0" w:tplc="C8141B1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6573B8"/>
    <w:multiLevelType w:val="hybridMultilevel"/>
    <w:tmpl w:val="406E3D94"/>
    <w:lvl w:ilvl="0" w:tplc="C8141B1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1277B"/>
    <w:multiLevelType w:val="hybridMultilevel"/>
    <w:tmpl w:val="4CE42F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747F7E"/>
    <w:multiLevelType w:val="hybridMultilevel"/>
    <w:tmpl w:val="14789C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AA0ACD"/>
    <w:multiLevelType w:val="hybridMultilevel"/>
    <w:tmpl w:val="24C4E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DE0030"/>
    <w:multiLevelType w:val="hybridMultilevel"/>
    <w:tmpl w:val="D15062D2"/>
    <w:lvl w:ilvl="0" w:tplc="16F07CCA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F57162"/>
    <w:multiLevelType w:val="hybridMultilevel"/>
    <w:tmpl w:val="999C8A66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0406B1"/>
    <w:multiLevelType w:val="hybridMultilevel"/>
    <w:tmpl w:val="AA5039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30640A"/>
    <w:multiLevelType w:val="hybridMultilevel"/>
    <w:tmpl w:val="4F48FAE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953C92"/>
    <w:multiLevelType w:val="hybridMultilevel"/>
    <w:tmpl w:val="4FA61C20"/>
    <w:lvl w:ilvl="0" w:tplc="C8141B14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</w:abstractNum>
  <w:abstractNum w:abstractNumId="11" w15:restartNumberingAfterBreak="0">
    <w:nsid w:val="6D412741"/>
    <w:multiLevelType w:val="hybridMultilevel"/>
    <w:tmpl w:val="43A2F6A0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9517BF0"/>
    <w:multiLevelType w:val="hybridMultilevel"/>
    <w:tmpl w:val="A5B20BA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B8405A"/>
    <w:multiLevelType w:val="hybridMultilevel"/>
    <w:tmpl w:val="0B807B0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C8141B14">
      <w:numFmt w:val="bullet"/>
      <w:lvlText w:val="•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F622BE"/>
    <w:multiLevelType w:val="hybridMultilevel"/>
    <w:tmpl w:val="2BBE5D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141B1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94559B"/>
    <w:multiLevelType w:val="hybridMultilevel"/>
    <w:tmpl w:val="6C741108"/>
    <w:lvl w:ilvl="0" w:tplc="39886F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5"/>
  </w:num>
  <w:num w:numId="4">
    <w:abstractNumId w:val="8"/>
  </w:num>
  <w:num w:numId="5">
    <w:abstractNumId w:val="3"/>
  </w:num>
  <w:num w:numId="6">
    <w:abstractNumId w:val="4"/>
  </w:num>
  <w:num w:numId="7">
    <w:abstractNumId w:val="10"/>
  </w:num>
  <w:num w:numId="8">
    <w:abstractNumId w:val="12"/>
  </w:num>
  <w:num w:numId="9">
    <w:abstractNumId w:val="11"/>
  </w:num>
  <w:num w:numId="10">
    <w:abstractNumId w:val="0"/>
  </w:num>
  <w:num w:numId="11">
    <w:abstractNumId w:val="9"/>
  </w:num>
  <w:num w:numId="12">
    <w:abstractNumId w:val="13"/>
  </w:num>
  <w:num w:numId="13">
    <w:abstractNumId w:val="1"/>
  </w:num>
  <w:num w:numId="14">
    <w:abstractNumId w:val="7"/>
  </w:num>
  <w:num w:numId="15">
    <w:abstractNumId w:val="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CB1"/>
    <w:rsid w:val="00071CB1"/>
    <w:rsid w:val="000D12B7"/>
    <w:rsid w:val="001725BE"/>
    <w:rsid w:val="00207676"/>
    <w:rsid w:val="002149A2"/>
    <w:rsid w:val="002D0324"/>
    <w:rsid w:val="003E6340"/>
    <w:rsid w:val="0046575C"/>
    <w:rsid w:val="004F1156"/>
    <w:rsid w:val="00563FA7"/>
    <w:rsid w:val="00683302"/>
    <w:rsid w:val="00767EFA"/>
    <w:rsid w:val="007D6B0C"/>
    <w:rsid w:val="0085150E"/>
    <w:rsid w:val="008B3008"/>
    <w:rsid w:val="008B39EB"/>
    <w:rsid w:val="008D60A7"/>
    <w:rsid w:val="008D79AA"/>
    <w:rsid w:val="0094761D"/>
    <w:rsid w:val="009558B6"/>
    <w:rsid w:val="009B2607"/>
    <w:rsid w:val="009E1D95"/>
    <w:rsid w:val="00A05AE2"/>
    <w:rsid w:val="00A47E38"/>
    <w:rsid w:val="00BA0A9B"/>
    <w:rsid w:val="00C11B23"/>
    <w:rsid w:val="00C663AB"/>
    <w:rsid w:val="00CF7D2C"/>
    <w:rsid w:val="00D8736A"/>
    <w:rsid w:val="00E0434A"/>
    <w:rsid w:val="00EA40A9"/>
    <w:rsid w:val="00F83CE8"/>
    <w:rsid w:val="00FE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A138D"/>
  <w15:chartTrackingRefBased/>
  <w15:docId w15:val="{4F9B5D23-70D8-4CB0-AEFC-79EFE3CC5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A0A9B"/>
  </w:style>
  <w:style w:type="paragraph" w:styleId="Ttulo1">
    <w:name w:val="heading 1"/>
    <w:basedOn w:val="Normal"/>
    <w:next w:val="Normal"/>
    <w:link w:val="Ttulo1Char"/>
    <w:uiPriority w:val="9"/>
    <w:qFormat/>
    <w:rsid w:val="00BA0A9B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A0A9B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A0A9B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A0A9B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A0A9B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A0A9B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A0A9B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A0A9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A0A9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A0A9B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tulo2Char">
    <w:name w:val="Título 2 Char"/>
    <w:basedOn w:val="Fontepargpadro"/>
    <w:link w:val="Ttulo2"/>
    <w:uiPriority w:val="9"/>
    <w:rsid w:val="00BA0A9B"/>
    <w:rPr>
      <w:caps/>
      <w:spacing w:val="15"/>
      <w:shd w:val="clear" w:color="auto" w:fill="D9E2F3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A0A9B"/>
    <w:rPr>
      <w:caps/>
      <w:color w:val="1F3763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A0A9B"/>
    <w:rPr>
      <w:caps/>
      <w:color w:val="2F5496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A0A9B"/>
    <w:rPr>
      <w:caps/>
      <w:color w:val="2F5496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A0A9B"/>
    <w:rPr>
      <w:caps/>
      <w:color w:val="2F5496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A0A9B"/>
    <w:rPr>
      <w:caps/>
      <w:color w:val="2F5496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A0A9B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A0A9B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A0A9B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BA0A9B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BA0A9B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BA0A9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BA0A9B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BA0A9B"/>
    <w:rPr>
      <w:b/>
      <w:bCs/>
    </w:rPr>
  </w:style>
  <w:style w:type="character" w:styleId="nfase">
    <w:name w:val="Emphasis"/>
    <w:uiPriority w:val="20"/>
    <w:qFormat/>
    <w:rsid w:val="00BA0A9B"/>
    <w:rPr>
      <w:caps/>
      <w:color w:val="1F3763" w:themeColor="accent1" w:themeShade="7F"/>
      <w:spacing w:val="5"/>
    </w:rPr>
  </w:style>
  <w:style w:type="paragraph" w:styleId="SemEspaamento">
    <w:name w:val="No Spacing"/>
    <w:uiPriority w:val="1"/>
    <w:qFormat/>
    <w:rsid w:val="00BA0A9B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BA0A9B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BA0A9B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BA0A9B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A0A9B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A0A9B"/>
    <w:rPr>
      <w:color w:val="4472C4" w:themeColor="accent1"/>
      <w:sz w:val="24"/>
      <w:szCs w:val="24"/>
    </w:rPr>
  </w:style>
  <w:style w:type="character" w:styleId="nfaseSutil">
    <w:name w:val="Subtle Emphasis"/>
    <w:uiPriority w:val="19"/>
    <w:qFormat/>
    <w:rsid w:val="00BA0A9B"/>
    <w:rPr>
      <w:i/>
      <w:iCs/>
      <w:color w:val="1F3763" w:themeColor="accent1" w:themeShade="7F"/>
    </w:rPr>
  </w:style>
  <w:style w:type="character" w:styleId="nfaseIntensa">
    <w:name w:val="Intense Emphasis"/>
    <w:uiPriority w:val="21"/>
    <w:qFormat/>
    <w:rsid w:val="00BA0A9B"/>
    <w:rPr>
      <w:b/>
      <w:bCs/>
      <w:caps/>
      <w:color w:val="1F3763" w:themeColor="accent1" w:themeShade="7F"/>
      <w:spacing w:val="10"/>
    </w:rPr>
  </w:style>
  <w:style w:type="character" w:styleId="RefernciaSutil">
    <w:name w:val="Subtle Reference"/>
    <w:uiPriority w:val="31"/>
    <w:qFormat/>
    <w:rsid w:val="00BA0A9B"/>
    <w:rPr>
      <w:b/>
      <w:bCs/>
      <w:color w:val="4472C4" w:themeColor="accent1"/>
    </w:rPr>
  </w:style>
  <w:style w:type="character" w:styleId="RefernciaIntensa">
    <w:name w:val="Intense Reference"/>
    <w:uiPriority w:val="32"/>
    <w:qFormat/>
    <w:rsid w:val="00BA0A9B"/>
    <w:rPr>
      <w:b/>
      <w:bCs/>
      <w:i/>
      <w:iCs/>
      <w:caps/>
      <w:color w:val="4472C4" w:themeColor="accent1"/>
    </w:rPr>
  </w:style>
  <w:style w:type="character" w:styleId="TtulodoLivro">
    <w:name w:val="Book Title"/>
    <w:uiPriority w:val="33"/>
    <w:qFormat/>
    <w:rsid w:val="00BA0A9B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A0A9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4649">
          <w:marLeft w:val="0"/>
          <w:marRight w:val="0"/>
          <w:marTop w:val="0"/>
          <w:marBottom w:val="0"/>
          <w:divBdr>
            <w:top w:val="single" w:sz="24" w:space="0" w:color="D9E2F3"/>
            <w:left w:val="single" w:sz="24" w:space="0" w:color="D9E2F3"/>
            <w:bottom w:val="single" w:sz="24" w:space="0" w:color="D9E2F3"/>
            <w:right w:val="single" w:sz="24" w:space="0" w:color="D9E2F3"/>
          </w:divBdr>
        </w:div>
      </w:divsChild>
    </w:div>
    <w:div w:id="1246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87288">
          <w:marLeft w:val="0"/>
          <w:marRight w:val="0"/>
          <w:marTop w:val="0"/>
          <w:marBottom w:val="0"/>
          <w:divBdr>
            <w:top w:val="single" w:sz="24" w:space="0" w:color="D9E2F3"/>
            <w:left w:val="single" w:sz="24" w:space="0" w:color="D9E2F3"/>
            <w:bottom w:val="single" w:sz="24" w:space="0" w:color="D9E2F3"/>
            <w:right w:val="single" w:sz="24" w:space="0" w:color="D9E2F3"/>
          </w:divBdr>
        </w:div>
      </w:divsChild>
    </w:div>
    <w:div w:id="2268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42851">
          <w:marLeft w:val="0"/>
          <w:marRight w:val="0"/>
          <w:marTop w:val="0"/>
          <w:marBottom w:val="0"/>
          <w:divBdr>
            <w:top w:val="single" w:sz="24" w:space="0" w:color="D9E2F3"/>
            <w:left w:val="single" w:sz="24" w:space="0" w:color="D9E2F3"/>
            <w:bottom w:val="single" w:sz="24" w:space="0" w:color="D9E2F3"/>
            <w:right w:val="single" w:sz="24" w:space="0" w:color="D9E2F3"/>
          </w:divBdr>
        </w:div>
      </w:divsChild>
    </w:div>
    <w:div w:id="3945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2452">
          <w:marLeft w:val="0"/>
          <w:marRight w:val="0"/>
          <w:marTop w:val="0"/>
          <w:marBottom w:val="0"/>
          <w:divBdr>
            <w:top w:val="single" w:sz="24" w:space="0" w:color="D9E2F3"/>
            <w:left w:val="single" w:sz="24" w:space="0" w:color="D9E2F3"/>
            <w:bottom w:val="single" w:sz="24" w:space="0" w:color="D9E2F3"/>
            <w:right w:val="single" w:sz="24" w:space="0" w:color="D9E2F3"/>
          </w:divBdr>
        </w:div>
      </w:divsChild>
    </w:div>
    <w:div w:id="11338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1816">
          <w:marLeft w:val="0"/>
          <w:marRight w:val="0"/>
          <w:marTop w:val="0"/>
          <w:marBottom w:val="0"/>
          <w:divBdr>
            <w:top w:val="single" w:sz="24" w:space="0" w:color="D9E2F3"/>
            <w:left w:val="single" w:sz="24" w:space="0" w:color="D9E2F3"/>
            <w:bottom w:val="single" w:sz="24" w:space="0" w:color="D9E2F3"/>
            <w:right w:val="single" w:sz="24" w:space="0" w:color="D9E2F3"/>
          </w:divBdr>
        </w:div>
      </w:divsChild>
    </w:div>
    <w:div w:id="14911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93FF6-CF23-4612-9777-835EA8359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</TotalTime>
  <Pages>1</Pages>
  <Words>4550</Words>
  <Characters>24571</Characters>
  <Application>Microsoft Office Word</Application>
  <DocSecurity>0</DocSecurity>
  <Lines>204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Guimarães</dc:creator>
  <cp:keywords/>
  <dc:description/>
  <cp:lastModifiedBy>Fernanda Guimarães</cp:lastModifiedBy>
  <cp:revision>14</cp:revision>
  <dcterms:created xsi:type="dcterms:W3CDTF">2023-07-24T19:38:00Z</dcterms:created>
  <dcterms:modified xsi:type="dcterms:W3CDTF">2023-07-28T02:25:00Z</dcterms:modified>
</cp:coreProperties>
</file>