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10" name="image5.png"/>
            <a:graphic>
              <a:graphicData uri="http://schemas.openxmlformats.org/drawingml/2006/picture">
                <pic:pic>
                  <pic:nvPicPr>
                    <pic:cNvPr descr="logoesp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Luis Loachamin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Christopher Ramos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febrero</w:t>
      </w:r>
      <w:r w:rsidDel="00000000" w:rsidR="00000000" w:rsidRPr="00000000">
        <w:rPr>
          <w:color w:val="000000"/>
          <w:rtl w:val="0"/>
        </w:rPr>
        <w:t xml:space="preserve"> de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ADMINISTRADOR</w:t>
      </w:r>
    </w:p>
    <w:p w:rsidR="00000000" w:rsidDel="00000000" w:rsidP="00000000" w:rsidRDefault="00000000" w:rsidRPr="00000000" w14:paraId="00000022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148263" cy="2819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51" l="0" r="825" t="3009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PACIENTES</w:t>
      </w:r>
    </w:p>
    <w:p w:rsidR="00000000" w:rsidDel="00000000" w:rsidP="00000000" w:rsidRDefault="00000000" w:rsidRPr="00000000" w14:paraId="00000025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278587" cy="441928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50" l="0" r="0" t="1571"/>
                    <a:stretch>
                      <a:fillRect/>
                    </a:stretch>
                  </pic:blipFill>
                  <pic:spPr>
                    <a:xfrm>
                      <a:off x="0" y="0"/>
                      <a:ext cx="5278587" cy="4419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MÉDICO</w:t>
      </w:r>
    </w:p>
    <w:p w:rsidR="00000000" w:rsidDel="00000000" w:rsidP="00000000" w:rsidRDefault="00000000" w:rsidRPr="00000000" w14:paraId="00000028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426851" cy="372809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6851" cy="37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REGISTRO DE PACIENTES</w:t>
      </w:r>
    </w:p>
    <w:p w:rsidR="00000000" w:rsidDel="00000000" w:rsidP="00000000" w:rsidRDefault="00000000" w:rsidRPr="00000000" w14:paraId="0000002B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27669" cy="369932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669" cy="3699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AGENDAMIENTO DE CITAS MÉDICAS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48250" cy="474352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4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St7BbHBP9LLxxldTi+pCO647Q==">AMUW2mUPXwiT3yytiwegYREXW4BkSpiBnbqKQPsyMasG1oTNdILuv1T3Ll+QjqBHF/G8hP0WIlhZqPsf9Wk0912VuBICvW/vKlXwTAsYWafwH01B+ojQGSw=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