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DDE60" w14:textId="77777777" w:rsidR="002E0A81" w:rsidRPr="001E7454" w:rsidRDefault="00D80A78" w:rsidP="001E7454">
      <w:pPr>
        <w:pStyle w:val="Ttulo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0" w:name="_GoBack"/>
      <w:r w:rsidRPr="001E7454">
        <w:rPr>
          <w:rFonts w:ascii="Times New Roman" w:hAnsi="Times New Roman" w:cs="Times New Roman"/>
          <w:sz w:val="32"/>
          <w:szCs w:val="32"/>
        </w:rPr>
        <w:t xml:space="preserve">Heterogeneidade do ambiente luminoso sob a copa de espécies </w:t>
      </w:r>
      <w:bookmarkEnd w:id="0"/>
      <w:proofErr w:type="gramStart"/>
      <w:r w:rsidRPr="001E7454">
        <w:rPr>
          <w:rFonts w:ascii="Times New Roman" w:hAnsi="Times New Roman" w:cs="Times New Roman"/>
          <w:sz w:val="32"/>
          <w:szCs w:val="32"/>
        </w:rPr>
        <w:t>arbóreas:implicações</w:t>
      </w:r>
      <w:proofErr w:type="gramEnd"/>
      <w:r w:rsidRPr="001E7454">
        <w:rPr>
          <w:rFonts w:ascii="Times New Roman" w:hAnsi="Times New Roman" w:cs="Times New Roman"/>
          <w:sz w:val="32"/>
          <w:szCs w:val="32"/>
        </w:rPr>
        <w:t xml:space="preserve"> para a restauração ecológica da Mata Atlântica</w:t>
      </w:r>
    </w:p>
    <w:p w14:paraId="46A8E26A" w14:textId="77777777" w:rsidR="002E0A81" w:rsidRPr="001E7454" w:rsidRDefault="00D80A78" w:rsidP="001E7454">
      <w:pPr>
        <w:pStyle w:val="Author"/>
        <w:spacing w:line="360" w:lineRule="auto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Fernanda da Cunha</w:t>
      </w:r>
    </w:p>
    <w:p w14:paraId="5802D8AB" w14:textId="77777777" w:rsidR="002E0A81" w:rsidRPr="001E7454" w:rsidRDefault="00D80A78" w:rsidP="001E7454">
      <w:pPr>
        <w:pStyle w:val="Data"/>
        <w:spacing w:line="360" w:lineRule="auto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21/03/2020</w:t>
      </w:r>
    </w:p>
    <w:p w14:paraId="003F0200" w14:textId="77777777" w:rsidR="002E0A81" w:rsidRPr="001E7454" w:rsidRDefault="00D80A78" w:rsidP="001E745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introdução"/>
      <w:r w:rsidRPr="001E7454">
        <w:rPr>
          <w:rFonts w:ascii="Times New Roman" w:hAnsi="Times New Roman" w:cs="Times New Roman"/>
          <w:sz w:val="24"/>
          <w:szCs w:val="24"/>
        </w:rPr>
        <w:t>Introdução</w:t>
      </w:r>
      <w:bookmarkEnd w:id="1"/>
    </w:p>
    <w:p w14:paraId="0C3C605E" w14:textId="77777777" w:rsidR="002E0A81" w:rsidRPr="001E7454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 xml:space="preserve">As plantas estão entre os engenheiros ecológicos mais importantes, pois podem criar, manter ou modificar os habitats, influenciando assim o ambiente físico e a biota local (JONES et al., 1997 apud. SOUZA et al., 2014, p.1). A partir do momento em que elas </w:t>
      </w:r>
      <w:r w:rsidRPr="001E7454">
        <w:rPr>
          <w:rFonts w:ascii="Times New Roman" w:hAnsi="Times New Roman" w:cs="Times New Roman"/>
        </w:rPr>
        <w:t xml:space="preserve">podem criar, manter ou modificar os habitats, elas podem atuar como facilitadoras, criando relações positivas entre as espécies onde pelo menos uma se beneficia sem que </w:t>
      </w:r>
      <w:proofErr w:type="gramStart"/>
      <w:r w:rsidRPr="001E7454">
        <w:rPr>
          <w:rFonts w:ascii="Times New Roman" w:hAnsi="Times New Roman" w:cs="Times New Roman"/>
        </w:rPr>
        <w:t>a</w:t>
      </w:r>
      <w:proofErr w:type="gramEnd"/>
      <w:r w:rsidRPr="001E7454">
        <w:rPr>
          <w:rFonts w:ascii="Times New Roman" w:hAnsi="Times New Roman" w:cs="Times New Roman"/>
        </w:rPr>
        <w:t xml:space="preserve"> outra sofra danos (Hunter e Aarssen 1988, Goldberg 1990, Callaway 1994). Ao perceber </w:t>
      </w:r>
      <w:r w:rsidRPr="001E7454">
        <w:rPr>
          <w:rFonts w:ascii="Times New Roman" w:hAnsi="Times New Roman" w:cs="Times New Roman"/>
        </w:rPr>
        <w:t>os efeitos diferenciados que espécies podem ocasionar abaixo de suas copas ao modificarem o clima e permitirem algum tipo de facilitação, diversos autores adotaram o conceito de “filtros ecológicos” para espécies vegetais (George e Bazzaz 1999; Peters et a</w:t>
      </w:r>
      <w:r w:rsidRPr="001E7454">
        <w:rPr>
          <w:rFonts w:ascii="Times New Roman" w:hAnsi="Times New Roman" w:cs="Times New Roman"/>
        </w:rPr>
        <w:t>l. 2004; Gandolfi et al. 2007; Souza 2007; Abreu et al. 2013). Entender a ecologia dessas plantas é de extrema importância por elas influenciarem diretamente nas condições do ambiente no qual estão inseridas.</w:t>
      </w:r>
    </w:p>
    <w:p w14:paraId="0349A9A1" w14:textId="77777777" w:rsidR="002E0A81" w:rsidRPr="001E7454" w:rsidRDefault="00D80A78" w:rsidP="001E7454">
      <w:pPr>
        <w:pStyle w:val="Corpodetexto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 xml:space="preserve">Gandolfi </w:t>
      </w:r>
      <w:proofErr w:type="gramStart"/>
      <w:r w:rsidRPr="001E7454">
        <w:rPr>
          <w:rFonts w:ascii="Times New Roman" w:hAnsi="Times New Roman" w:cs="Times New Roman"/>
        </w:rPr>
        <w:t>et al.(</w:t>
      </w:r>
      <w:proofErr w:type="gramEnd"/>
      <w:r w:rsidRPr="001E7454">
        <w:rPr>
          <w:rFonts w:ascii="Times New Roman" w:hAnsi="Times New Roman" w:cs="Times New Roman"/>
        </w:rPr>
        <w:t>2007) propõe que cada espécie d</w:t>
      </w:r>
      <w:r w:rsidRPr="001E7454">
        <w:rPr>
          <w:rFonts w:ascii="Times New Roman" w:hAnsi="Times New Roman" w:cs="Times New Roman"/>
        </w:rPr>
        <w:t>e floresta tropical e subtropical pode criar condições específicas de microclima abaixo de sua copa. Cada espécie arbórea que ocupa o dossel de uma floresta, devido ao seu porte e a sua longa permanência num determinado local, pode exercer grande influênci</w:t>
      </w:r>
      <w:r w:rsidRPr="001E7454">
        <w:rPr>
          <w:rFonts w:ascii="Times New Roman" w:hAnsi="Times New Roman" w:cs="Times New Roman"/>
        </w:rPr>
        <w:t>a, por exemplo, no padrão de luz no sub-bosque (Gandolfi, 2000) e consequentemente, influenciando no recrutamento das plântulas.</w:t>
      </w:r>
    </w:p>
    <w:p w14:paraId="3BFD3F2D" w14:textId="77777777" w:rsidR="002E0A81" w:rsidRPr="001E7454" w:rsidRDefault="00D80A78" w:rsidP="001E7454">
      <w:pPr>
        <w:pStyle w:val="Corpodetexto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 xml:space="preserve">Tucker e Murphy (1997) abordam o uso do método “FrameWork Species” na restauração. De acordo com Elliott </w:t>
      </w:r>
      <w:proofErr w:type="gramStart"/>
      <w:r w:rsidRPr="001E7454">
        <w:rPr>
          <w:rFonts w:ascii="Times New Roman" w:hAnsi="Times New Roman" w:cs="Times New Roman"/>
        </w:rPr>
        <w:t>et al.(</w:t>
      </w:r>
      <w:proofErr w:type="gramEnd"/>
      <w:r w:rsidRPr="001E7454">
        <w:rPr>
          <w:rFonts w:ascii="Times New Roman" w:hAnsi="Times New Roman" w:cs="Times New Roman"/>
        </w:rPr>
        <w:t>2002), espécies</w:t>
      </w:r>
      <w:r w:rsidRPr="001E7454">
        <w:rPr>
          <w:rFonts w:ascii="Times New Roman" w:hAnsi="Times New Roman" w:cs="Times New Roman"/>
        </w:rPr>
        <w:t xml:space="preserve"> “framework” poderiam ser descritas como “espécies-chave” que apresentam um crescimento relativamente rápido com </w:t>
      </w:r>
      <w:r w:rsidRPr="001E7454">
        <w:rPr>
          <w:rFonts w:ascii="Times New Roman" w:hAnsi="Times New Roman" w:cs="Times New Roman"/>
        </w:rPr>
        <w:lastRenderedPageBreak/>
        <w:t>copas densas e, que quando plantadas em áreas degradadas, rapidamente sombreiam. Elas também fornecem recursos para a vida selvagem (frutas, né</w:t>
      </w:r>
      <w:r w:rsidRPr="001E7454">
        <w:rPr>
          <w:rFonts w:ascii="Times New Roman" w:hAnsi="Times New Roman" w:cs="Times New Roman"/>
        </w:rPr>
        <w:t>ctar, etc) em uma idade precoce, e os animais atraídos por esses recursos, dispersam as sementes de outras espécies de árvores não plantadas, acelerando assim o retorno da biodiversidade.</w:t>
      </w:r>
    </w:p>
    <w:p w14:paraId="7D6D66AF" w14:textId="77777777" w:rsidR="002E0A81" w:rsidRPr="001E7454" w:rsidRDefault="00D80A78" w:rsidP="001E7454">
      <w:pPr>
        <w:pStyle w:val="Corpodetexto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Desta forma, compreender os mecanismos e efeitos da transmissão de l</w:t>
      </w:r>
      <w:r w:rsidRPr="001E7454">
        <w:rPr>
          <w:rFonts w:ascii="Times New Roman" w:hAnsi="Times New Roman" w:cs="Times New Roman"/>
        </w:rPr>
        <w:t>uz e sua incidência no sub-bosque tem efeitos no campo ecológico e na restauração, e ao unirmos os conhecimentos da ecologia funcional com manejo florestal e restauração considerando o efeito de filtros ecológicos das espécies arbóreas, seria possível prop</w:t>
      </w:r>
      <w:r w:rsidRPr="001E7454">
        <w:rPr>
          <w:rFonts w:ascii="Times New Roman" w:hAnsi="Times New Roman" w:cs="Times New Roman"/>
        </w:rPr>
        <w:t>or “espécies chave”, as quais proporcionassem o aumento da biodiversidade e maximizassem a restauração dos processos ecossistêmicos.</w:t>
      </w:r>
    </w:p>
    <w:p w14:paraId="69094082" w14:textId="77777777" w:rsidR="002E0A81" w:rsidRPr="001E7454" w:rsidRDefault="00D80A78" w:rsidP="001E745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" w:name="objetivo"/>
      <w:r w:rsidRPr="001E7454">
        <w:rPr>
          <w:rFonts w:ascii="Times New Roman" w:hAnsi="Times New Roman" w:cs="Times New Roman"/>
          <w:sz w:val="24"/>
          <w:szCs w:val="24"/>
        </w:rPr>
        <w:t>Objetivo</w:t>
      </w:r>
      <w:bookmarkEnd w:id="2"/>
    </w:p>
    <w:p w14:paraId="22FC9BA9" w14:textId="77777777" w:rsidR="002E0A81" w:rsidRPr="001E7454" w:rsidRDefault="00D80A78" w:rsidP="001E7454">
      <w:pPr>
        <w:pStyle w:val="Ttulo3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3" w:name="geral"/>
      <w:r w:rsidRPr="001E7454">
        <w:rPr>
          <w:rFonts w:ascii="Times New Roman" w:hAnsi="Times New Roman" w:cs="Times New Roman"/>
          <w:sz w:val="24"/>
          <w:szCs w:val="24"/>
        </w:rPr>
        <w:t>Geral</w:t>
      </w:r>
      <w:bookmarkEnd w:id="3"/>
    </w:p>
    <w:p w14:paraId="4FEC7377" w14:textId="77777777" w:rsidR="002E0A81" w:rsidRPr="001E7454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O estudo tem como objetivo quantificar a heterogeneidade do ambiente luminoso sob a copa das quatro espécies</w:t>
      </w:r>
      <w:r w:rsidRPr="001E7454">
        <w:rPr>
          <w:rFonts w:ascii="Times New Roman" w:hAnsi="Times New Roman" w:cs="Times New Roman"/>
        </w:rPr>
        <w:t xml:space="preserve"> arbóreas nativas da Floresta Atlântica - Piptadenia gonoacantha (Martius, 1919), Inga edulis Mart., Guarea guidonia (L.) e Nectandra membranacea (Swartz) Griseb.</w:t>
      </w:r>
    </w:p>
    <w:p w14:paraId="3D168A9A" w14:textId="77777777" w:rsidR="002E0A81" w:rsidRPr="001E7454" w:rsidRDefault="00D80A78" w:rsidP="001E7454">
      <w:pPr>
        <w:pStyle w:val="Ttulo3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" w:name="específico"/>
      <w:r w:rsidRPr="001E7454">
        <w:rPr>
          <w:rFonts w:ascii="Times New Roman" w:hAnsi="Times New Roman" w:cs="Times New Roman"/>
          <w:sz w:val="24"/>
          <w:szCs w:val="24"/>
        </w:rPr>
        <w:t>Específico</w:t>
      </w:r>
      <w:bookmarkEnd w:id="4"/>
    </w:p>
    <w:p w14:paraId="24CFFEC7" w14:textId="576981F0" w:rsidR="002E0A81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Avaliar uma variável específica do ambiente luminoso sob a copa de quatro espécies</w:t>
      </w:r>
      <w:r w:rsidRPr="001E7454">
        <w:rPr>
          <w:rFonts w:ascii="Times New Roman" w:hAnsi="Times New Roman" w:cs="Times New Roman"/>
        </w:rPr>
        <w:t xml:space="preserve"> arbóreas e em dois períodos diferentes, julho e novembro de 2017, sendo essa variável o Fator de Sítio </w:t>
      </w:r>
      <w:proofErr w:type="gramStart"/>
      <w:r w:rsidRPr="001E7454">
        <w:rPr>
          <w:rFonts w:ascii="Times New Roman" w:hAnsi="Times New Roman" w:cs="Times New Roman"/>
        </w:rPr>
        <w:t>Direto(</w:t>
      </w:r>
      <w:proofErr w:type="gramEnd"/>
      <w:r w:rsidRPr="001E7454">
        <w:rPr>
          <w:rFonts w:ascii="Times New Roman" w:hAnsi="Times New Roman" w:cs="Times New Roman"/>
        </w:rPr>
        <w:t>FSD). Além disso, será analisado o Índice de Área Foliar (IAF) dessas espécies. O objetivo é comparar a similaridade ou diferença entre as espéci</w:t>
      </w:r>
      <w:r w:rsidRPr="001E7454">
        <w:rPr>
          <w:rFonts w:ascii="Times New Roman" w:hAnsi="Times New Roman" w:cs="Times New Roman"/>
        </w:rPr>
        <w:t xml:space="preserve">es e também observar se houve diferença para cada espécie </w:t>
      </w:r>
      <w:proofErr w:type="spellStart"/>
      <w:r w:rsidRPr="001E7454">
        <w:rPr>
          <w:rFonts w:ascii="Times New Roman" w:hAnsi="Times New Roman" w:cs="Times New Roman"/>
        </w:rPr>
        <w:t>individualmente</w:t>
      </w:r>
      <w:proofErr w:type="spellEnd"/>
      <w:r w:rsidRPr="001E7454">
        <w:rPr>
          <w:rFonts w:ascii="Times New Roman" w:hAnsi="Times New Roman" w:cs="Times New Roman"/>
        </w:rPr>
        <w:t xml:space="preserve"> </w:t>
      </w:r>
      <w:proofErr w:type="spellStart"/>
      <w:r w:rsidRPr="001E7454">
        <w:rPr>
          <w:rFonts w:ascii="Times New Roman" w:hAnsi="Times New Roman" w:cs="Times New Roman"/>
        </w:rPr>
        <w:t>nos</w:t>
      </w:r>
      <w:proofErr w:type="spellEnd"/>
      <w:r w:rsidRPr="001E7454">
        <w:rPr>
          <w:rFonts w:ascii="Times New Roman" w:hAnsi="Times New Roman" w:cs="Times New Roman"/>
        </w:rPr>
        <w:t xml:space="preserve"> </w:t>
      </w:r>
      <w:proofErr w:type="spellStart"/>
      <w:r w:rsidRPr="001E7454">
        <w:rPr>
          <w:rFonts w:ascii="Times New Roman" w:hAnsi="Times New Roman" w:cs="Times New Roman"/>
        </w:rPr>
        <w:t>dois</w:t>
      </w:r>
      <w:proofErr w:type="spellEnd"/>
      <w:r w:rsidRPr="001E7454">
        <w:rPr>
          <w:rFonts w:ascii="Times New Roman" w:hAnsi="Times New Roman" w:cs="Times New Roman"/>
        </w:rPr>
        <w:t xml:space="preserve"> </w:t>
      </w:r>
      <w:proofErr w:type="spellStart"/>
      <w:r w:rsidRPr="001E7454">
        <w:rPr>
          <w:rFonts w:ascii="Times New Roman" w:hAnsi="Times New Roman" w:cs="Times New Roman"/>
        </w:rPr>
        <w:t>períodos</w:t>
      </w:r>
      <w:proofErr w:type="spellEnd"/>
      <w:r w:rsidRPr="001E7454">
        <w:rPr>
          <w:rFonts w:ascii="Times New Roman" w:hAnsi="Times New Roman" w:cs="Times New Roman"/>
        </w:rPr>
        <w:t>.</w:t>
      </w:r>
    </w:p>
    <w:p w14:paraId="05AAC303" w14:textId="77777777" w:rsidR="001E7454" w:rsidRPr="001E7454" w:rsidRDefault="001E7454" w:rsidP="001E7454">
      <w:pPr>
        <w:pStyle w:val="Corpodetexto"/>
        <w:spacing w:line="360" w:lineRule="auto"/>
      </w:pPr>
    </w:p>
    <w:p w14:paraId="5A6DE10C" w14:textId="77777777" w:rsidR="002E0A81" w:rsidRPr="001E7454" w:rsidRDefault="00D80A78" w:rsidP="001E745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" w:name="hipótese"/>
      <w:r w:rsidRPr="001E7454">
        <w:rPr>
          <w:rFonts w:ascii="Times New Roman" w:hAnsi="Times New Roman" w:cs="Times New Roman"/>
          <w:sz w:val="24"/>
          <w:szCs w:val="24"/>
        </w:rPr>
        <w:t>Hipótese</w:t>
      </w:r>
      <w:bookmarkEnd w:id="5"/>
    </w:p>
    <w:p w14:paraId="445F7182" w14:textId="77777777" w:rsidR="002E0A81" w:rsidRPr="001E7454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O ambiente luminoso no sub-bosque abaixo das copas será diferente entre as espécies analisadas.</w:t>
      </w:r>
    </w:p>
    <w:p w14:paraId="1C927480" w14:textId="561BF478" w:rsidR="002E0A81" w:rsidRDefault="00D80A78" w:rsidP="001E7454">
      <w:pPr>
        <w:pStyle w:val="Corpodetexto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lastRenderedPageBreak/>
        <w:t>O sub-bosque abaixo da copa de Inga edulis e Piptadenia go</w:t>
      </w:r>
      <w:r w:rsidRPr="001E7454">
        <w:rPr>
          <w:rFonts w:ascii="Times New Roman" w:hAnsi="Times New Roman" w:cs="Times New Roman"/>
        </w:rPr>
        <w:t xml:space="preserve">noacantha apresentará maiores valores de FSD e IAF. Isso porque ambas são espécies caducifólias. A área abaixo da copa de Guarea guidonia e Nectandra membranacea apresentará menores valores de FSD e IAF. Isso por ambas </w:t>
      </w:r>
      <w:proofErr w:type="spellStart"/>
      <w:r w:rsidRPr="001E7454">
        <w:rPr>
          <w:rFonts w:ascii="Times New Roman" w:hAnsi="Times New Roman" w:cs="Times New Roman"/>
        </w:rPr>
        <w:t>serem</w:t>
      </w:r>
      <w:proofErr w:type="spellEnd"/>
      <w:r w:rsidRPr="001E7454">
        <w:rPr>
          <w:rFonts w:ascii="Times New Roman" w:hAnsi="Times New Roman" w:cs="Times New Roman"/>
        </w:rPr>
        <w:t xml:space="preserve"> </w:t>
      </w:r>
      <w:proofErr w:type="spellStart"/>
      <w:r w:rsidRPr="001E7454">
        <w:rPr>
          <w:rFonts w:ascii="Times New Roman" w:hAnsi="Times New Roman" w:cs="Times New Roman"/>
        </w:rPr>
        <w:t>espécies</w:t>
      </w:r>
      <w:proofErr w:type="spellEnd"/>
      <w:r w:rsidRPr="001E7454">
        <w:rPr>
          <w:rFonts w:ascii="Times New Roman" w:hAnsi="Times New Roman" w:cs="Times New Roman"/>
        </w:rPr>
        <w:t xml:space="preserve"> </w:t>
      </w:r>
      <w:proofErr w:type="spellStart"/>
      <w:r w:rsidRPr="001E7454">
        <w:rPr>
          <w:rFonts w:ascii="Times New Roman" w:hAnsi="Times New Roman" w:cs="Times New Roman"/>
        </w:rPr>
        <w:t>perenifólias</w:t>
      </w:r>
      <w:proofErr w:type="spellEnd"/>
      <w:r w:rsidRPr="001E7454">
        <w:rPr>
          <w:rFonts w:ascii="Times New Roman" w:hAnsi="Times New Roman" w:cs="Times New Roman"/>
        </w:rPr>
        <w:t>.</w:t>
      </w:r>
    </w:p>
    <w:p w14:paraId="097E9011" w14:textId="77777777" w:rsidR="001E7454" w:rsidRPr="001E7454" w:rsidRDefault="001E7454" w:rsidP="001E7454">
      <w:pPr>
        <w:pStyle w:val="Corpodetexto"/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98C1809" w14:textId="77777777" w:rsidR="002E0A81" w:rsidRPr="001E7454" w:rsidRDefault="00D80A78" w:rsidP="001E745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material-e-métodos"/>
      <w:r w:rsidRPr="001E7454">
        <w:rPr>
          <w:rFonts w:ascii="Times New Roman" w:hAnsi="Times New Roman" w:cs="Times New Roman"/>
          <w:sz w:val="24"/>
          <w:szCs w:val="24"/>
        </w:rPr>
        <w:t>Material</w:t>
      </w:r>
      <w:r w:rsidRPr="001E7454">
        <w:rPr>
          <w:rFonts w:ascii="Times New Roman" w:hAnsi="Times New Roman" w:cs="Times New Roman"/>
          <w:sz w:val="24"/>
          <w:szCs w:val="24"/>
        </w:rPr>
        <w:t xml:space="preserve"> e Métodos</w:t>
      </w:r>
      <w:bookmarkEnd w:id="6"/>
    </w:p>
    <w:p w14:paraId="4E82DA53" w14:textId="77777777" w:rsidR="002E0A81" w:rsidRPr="001E7454" w:rsidRDefault="00D80A78" w:rsidP="001E7454">
      <w:pPr>
        <w:pStyle w:val="Ttulo3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7" w:name="área-de-estudo"/>
      <w:r w:rsidRPr="001E7454">
        <w:rPr>
          <w:rFonts w:ascii="Times New Roman" w:hAnsi="Times New Roman" w:cs="Times New Roman"/>
          <w:sz w:val="24"/>
          <w:szCs w:val="24"/>
        </w:rPr>
        <w:t>Área de Estudo</w:t>
      </w:r>
      <w:bookmarkEnd w:id="7"/>
    </w:p>
    <w:p w14:paraId="0CFE7FD1" w14:textId="77777777" w:rsidR="002E0A81" w:rsidRPr="001E7454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O trabalho foi realizado na Reserva Ecológica do Guapiaçu – REGUA, localizada na comunidade rural de Guapiaçu, 3° distrito do município de Cachoeiras de Macacu, Estado do Rio de Janeiro. Possuindo 7380 hectares de extensão territo</w:t>
      </w:r>
      <w:r w:rsidRPr="001E7454">
        <w:rPr>
          <w:rFonts w:ascii="Times New Roman" w:hAnsi="Times New Roman" w:cs="Times New Roman"/>
        </w:rPr>
        <w:t>rial compreendidos na bacia do rio Guapiaçu, a REGUA está inserida no bioma da Mata Atlântica e contém a maior parte de sua área, 94,78%, composta por grandes remanescentes florestais em bom estado de conservação, o que lhe confere uma grande diversidade d</w:t>
      </w:r>
      <w:r w:rsidRPr="001E7454">
        <w:rPr>
          <w:rFonts w:ascii="Times New Roman" w:hAnsi="Times New Roman" w:cs="Times New Roman"/>
        </w:rPr>
        <w:t>e fauna e flora (BERNARDO, 2010 apud. AZEVEDO, 2012, p.6).</w:t>
      </w:r>
    </w:p>
    <w:p w14:paraId="1A7A2A5A" w14:textId="77777777" w:rsidR="002E0A81" w:rsidRPr="001E7454" w:rsidRDefault="00D80A78" w:rsidP="001E7454">
      <w:pPr>
        <w:pStyle w:val="Corpodetexto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A propriedade está em posse da família Locke desde 1908, onde eram desenvolvidas as atividades agrícolas e a pecuária extensiva na chamada “Fazenda São José de Guapiaçu”. Por volta de 1915 e 1920 a</w:t>
      </w:r>
      <w:r w:rsidRPr="001E7454">
        <w:rPr>
          <w:rFonts w:ascii="Times New Roman" w:hAnsi="Times New Roman" w:cs="Times New Roman"/>
        </w:rPr>
        <w:t>s partes baixas (com algum relevo ondulado) desta fazenda tiveram suas áreas, compostas por cobertura vegetal original nos ecossistemas florestal e lêntico, convertidas em pastagem (informação verbal do proprietário Nicholas Locke). Somente no ano de 2004,</w:t>
      </w:r>
      <w:r w:rsidRPr="001E7454">
        <w:rPr>
          <w:rFonts w:ascii="Times New Roman" w:hAnsi="Times New Roman" w:cs="Times New Roman"/>
        </w:rPr>
        <w:t xml:space="preserve"> as práticas agropecuárias foram interrompidas e toda a área passou a fazer parte da ONG. Neste mesmo ano a primeira área foi reflorestada, a fim de reconectar fragmentos isolados com a criação de corredores ecológicos e, desde então, a Reserva vem recuper</w:t>
      </w:r>
      <w:r w:rsidRPr="001E7454">
        <w:rPr>
          <w:rFonts w:ascii="Times New Roman" w:hAnsi="Times New Roman" w:cs="Times New Roman"/>
        </w:rPr>
        <w:t xml:space="preserve">ando áreas degradadas de encostas e de baixadas, bem como reabilitando e restaurando áreas originais de ecossistemas lênticos. O trabalho foi realizado em uma área de reflorestamento da REGUA que possui 9,6 há. A área possui um reflorestamento com 10 anos </w:t>
      </w:r>
      <w:r w:rsidRPr="001E7454">
        <w:rPr>
          <w:rFonts w:ascii="Times New Roman" w:hAnsi="Times New Roman" w:cs="Times New Roman"/>
        </w:rPr>
        <w:t>de idade. A formação florestal foi caracterizada como floresta ombrófila densa das terras baixas. Apresenta o solo caracterizado como latossolo amarelo (AZEVEDO, 2012, p.22).</w:t>
      </w:r>
    </w:p>
    <w:p w14:paraId="5BB785BA" w14:textId="77777777" w:rsidR="002E0A81" w:rsidRPr="001E7454" w:rsidRDefault="00D80A78" w:rsidP="001E7454">
      <w:pPr>
        <w:pStyle w:val="CaptionedFigure"/>
        <w:spacing w:line="360" w:lineRule="auto"/>
        <w:jc w:val="center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D9633E" wp14:editId="06C1172C">
            <wp:extent cx="5334000" cy="3030235"/>
            <wp:effectExtent l="0" t="0" r="0" b="0"/>
            <wp:docPr id="1" name="Picture" descr="Figura 1. Imagem retirada do Google Earth evidenciando as áreas reflorestadas a 10 anos na Reserva Ecológica do Guapiaçu – Cachoeiras de Macacu – RJ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s/area_estud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211E7" w14:textId="0307F002" w:rsidR="002E0A81" w:rsidRDefault="00D80A78" w:rsidP="001E7454">
      <w:pPr>
        <w:pStyle w:val="ImageCaption"/>
        <w:spacing w:line="360" w:lineRule="auto"/>
        <w:jc w:val="both"/>
        <w:rPr>
          <w:rFonts w:ascii="Times New Roman" w:hAnsi="Times New Roman" w:cs="Times New Roman"/>
          <w:i w:val="0"/>
          <w:iCs/>
        </w:rPr>
      </w:pPr>
      <w:r w:rsidRPr="001E7454">
        <w:rPr>
          <w:rFonts w:ascii="Times New Roman" w:hAnsi="Times New Roman" w:cs="Times New Roman"/>
          <w:b/>
          <w:bCs/>
          <w:i w:val="0"/>
          <w:iCs/>
        </w:rPr>
        <w:t>Figura 1.</w:t>
      </w:r>
      <w:r w:rsidRPr="001E7454">
        <w:rPr>
          <w:rFonts w:ascii="Times New Roman" w:hAnsi="Times New Roman" w:cs="Times New Roman"/>
          <w:i w:val="0"/>
          <w:iCs/>
        </w:rPr>
        <w:t xml:space="preserve"> Imagem retirada do Google Earth evidenciando as áreas reflorestadas a</w:t>
      </w:r>
      <w:r w:rsidRPr="001E7454">
        <w:rPr>
          <w:rFonts w:ascii="Times New Roman" w:hAnsi="Times New Roman" w:cs="Times New Roman"/>
          <w:i w:val="0"/>
          <w:iCs/>
        </w:rPr>
        <w:t xml:space="preserve"> 10 anos na Reserva Ecológica do Guapiaçu – Cachoeiras de </w:t>
      </w:r>
      <w:proofErr w:type="spellStart"/>
      <w:r w:rsidRPr="001E7454">
        <w:rPr>
          <w:rFonts w:ascii="Times New Roman" w:hAnsi="Times New Roman" w:cs="Times New Roman"/>
          <w:i w:val="0"/>
          <w:iCs/>
        </w:rPr>
        <w:t>Macacu</w:t>
      </w:r>
      <w:proofErr w:type="spellEnd"/>
      <w:r w:rsidRPr="001E7454">
        <w:rPr>
          <w:rFonts w:ascii="Times New Roman" w:hAnsi="Times New Roman" w:cs="Times New Roman"/>
          <w:i w:val="0"/>
          <w:iCs/>
        </w:rPr>
        <w:t xml:space="preserve"> – RJ</w:t>
      </w:r>
    </w:p>
    <w:p w14:paraId="628F2CC1" w14:textId="77777777" w:rsidR="001E7454" w:rsidRPr="001E7454" w:rsidRDefault="001E7454" w:rsidP="001E7454">
      <w:pPr>
        <w:pStyle w:val="ImageCaption"/>
        <w:spacing w:line="360" w:lineRule="auto"/>
        <w:jc w:val="both"/>
        <w:rPr>
          <w:rFonts w:ascii="Times New Roman" w:hAnsi="Times New Roman" w:cs="Times New Roman"/>
          <w:i w:val="0"/>
          <w:iCs/>
        </w:rPr>
      </w:pPr>
    </w:p>
    <w:p w14:paraId="40C5A2E2" w14:textId="77777777" w:rsidR="002E0A81" w:rsidRPr="001E7454" w:rsidRDefault="00D80A78" w:rsidP="001E7454">
      <w:pPr>
        <w:pStyle w:val="Ttulo3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8" w:name="espécies-focais-selecionadas"/>
      <w:r w:rsidRPr="001E7454">
        <w:rPr>
          <w:rFonts w:ascii="Times New Roman" w:hAnsi="Times New Roman" w:cs="Times New Roman"/>
          <w:sz w:val="24"/>
          <w:szCs w:val="24"/>
        </w:rPr>
        <w:t>Espécies focais selecionadas</w:t>
      </w:r>
      <w:bookmarkEnd w:id="8"/>
    </w:p>
    <w:p w14:paraId="79069B61" w14:textId="77777777" w:rsidR="002E0A81" w:rsidRPr="001E7454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As espécies focais foram selecionadas principalmente em função da caducifolia e da estrutura de copa, sendo elas espécies arbóreas nativas da Floresta Atlânt</w:t>
      </w:r>
      <w:r w:rsidRPr="001E7454">
        <w:rPr>
          <w:rFonts w:ascii="Times New Roman" w:hAnsi="Times New Roman" w:cs="Times New Roman"/>
        </w:rPr>
        <w:t xml:space="preserve">ica – Piptadenia gonoacantha (Martius, 1919), Inga edulis Mart., Guarea guidonia (L.) e Nectandra membranacea (Swartz) Griseb. Foram selecionadas 10 árvores de cada espécie, com altura maior que 7 metros e diâmetro </w:t>
      </w:r>
      <w:proofErr w:type="gramStart"/>
      <w:r w:rsidRPr="001E7454">
        <w:rPr>
          <w:rFonts w:ascii="Times New Roman" w:hAnsi="Times New Roman" w:cs="Times New Roman"/>
        </w:rPr>
        <w:t>a</w:t>
      </w:r>
      <w:proofErr w:type="gramEnd"/>
      <w:r w:rsidRPr="001E7454">
        <w:rPr>
          <w:rFonts w:ascii="Times New Roman" w:hAnsi="Times New Roman" w:cs="Times New Roman"/>
        </w:rPr>
        <w:t xml:space="preserve"> altura do peito (DAP) superior a 10 cen</w:t>
      </w:r>
      <w:r w:rsidRPr="001E7454">
        <w:rPr>
          <w:rFonts w:ascii="Times New Roman" w:hAnsi="Times New Roman" w:cs="Times New Roman"/>
        </w:rPr>
        <w:t>tímetro e que estivessem bem distribuídas pela área do projeto de restauração implantado há dez anos na Reserva Ecológica de Guapiaçu, município de Cachoeiras de Macacu – Rio de Janeiro.</w:t>
      </w:r>
    </w:p>
    <w:p w14:paraId="0D83CBEE" w14:textId="18FCD9BD" w:rsidR="002E0A81" w:rsidRPr="001E7454" w:rsidRDefault="00D80A78" w:rsidP="001E7454">
      <w:pPr>
        <w:pStyle w:val="Ttulo3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9" w:name="fotos-hemisféricas"/>
      <w:proofErr w:type="spellStart"/>
      <w:r w:rsidRPr="001E7454">
        <w:rPr>
          <w:rFonts w:ascii="Times New Roman" w:hAnsi="Times New Roman" w:cs="Times New Roman"/>
          <w:sz w:val="24"/>
          <w:szCs w:val="24"/>
        </w:rPr>
        <w:t>Fotos</w:t>
      </w:r>
      <w:proofErr w:type="spellEnd"/>
      <w:r w:rsidRPr="001E7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454">
        <w:rPr>
          <w:rFonts w:ascii="Times New Roman" w:hAnsi="Times New Roman" w:cs="Times New Roman"/>
          <w:sz w:val="24"/>
          <w:szCs w:val="24"/>
        </w:rPr>
        <w:t>Hemisféricas</w:t>
      </w:r>
      <w:bookmarkEnd w:id="9"/>
      <w:proofErr w:type="spellEnd"/>
    </w:p>
    <w:p w14:paraId="14332E53" w14:textId="77777777" w:rsidR="002E0A81" w:rsidRPr="001E7454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Para mensuração da heterogeneidade luminosa, foram</w:t>
      </w:r>
      <w:r w:rsidRPr="001E7454">
        <w:rPr>
          <w:rFonts w:ascii="Times New Roman" w:hAnsi="Times New Roman" w:cs="Times New Roman"/>
        </w:rPr>
        <w:t xml:space="preserve"> realizadas fotos hemisféricas em dois períodos do ano de 2017 (julho e novembro) sob a copa de todos os indivíduos das espécies focais. As fotos foram retiradas em horários em que não houvesse luz direta, ou seja, no início da manhã e no fim da tarde, ou </w:t>
      </w:r>
      <w:r w:rsidRPr="001E7454">
        <w:rPr>
          <w:rFonts w:ascii="Times New Roman" w:hAnsi="Times New Roman" w:cs="Times New Roman"/>
        </w:rPr>
        <w:t xml:space="preserve">em dias em que estivesse nublado, através de uma câmera digital Nikon D3200 4.5mm e lente </w:t>
      </w:r>
      <w:proofErr w:type="gramStart"/>
      <w:r w:rsidRPr="001E7454">
        <w:rPr>
          <w:rFonts w:ascii="Times New Roman" w:hAnsi="Times New Roman" w:cs="Times New Roman"/>
        </w:rPr>
        <w:t>fish-eye</w:t>
      </w:r>
      <w:proofErr w:type="gramEnd"/>
      <w:r w:rsidRPr="001E7454">
        <w:rPr>
          <w:rFonts w:ascii="Times New Roman" w:hAnsi="Times New Roman" w:cs="Times New Roman"/>
        </w:rPr>
        <w:t xml:space="preserve">. O tripé foi posicionado em uma </w:t>
      </w:r>
      <w:r w:rsidRPr="001E7454">
        <w:rPr>
          <w:rFonts w:ascii="Times New Roman" w:hAnsi="Times New Roman" w:cs="Times New Roman"/>
        </w:rPr>
        <w:lastRenderedPageBreak/>
        <w:t>altura de 1,5m do solo. As imagens foram analisadas através do software hemiview versão 2.1.</w:t>
      </w:r>
    </w:p>
    <w:p w14:paraId="0A84D6DC" w14:textId="77777777" w:rsidR="002E0A81" w:rsidRPr="001E7454" w:rsidRDefault="00D80A78" w:rsidP="001E7454">
      <w:pPr>
        <w:pStyle w:val="CaptionedFigure"/>
        <w:spacing w:line="360" w:lineRule="auto"/>
        <w:jc w:val="center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  <w:noProof/>
        </w:rPr>
        <w:drawing>
          <wp:inline distT="0" distB="0" distL="0" distR="0" wp14:anchorId="38A297B3" wp14:editId="270F452F">
            <wp:extent cx="4476568" cy="3899139"/>
            <wp:effectExtent l="0" t="0" r="0" b="0"/>
            <wp:docPr id="2" name="Picture" descr="Figura 2. Fotos Hemisféricas retiradas abaixo das copas das espécies focais. G. guidonia (A)., I. edulis (B)., N. membranacea (C). e P. gonoacantha (D) na Reserva Ecológica de Guapiaçu, Cachoeiras de Macacu – Rio de Janei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s/imagens_hemisferica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406" cy="390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36BF2" w14:textId="0FDDF1F2" w:rsidR="002E0A81" w:rsidRDefault="00D80A78" w:rsidP="001E7454">
      <w:pPr>
        <w:pStyle w:val="ImageCaption"/>
        <w:spacing w:line="360" w:lineRule="auto"/>
        <w:jc w:val="both"/>
        <w:rPr>
          <w:rFonts w:ascii="Times New Roman" w:hAnsi="Times New Roman" w:cs="Times New Roman"/>
          <w:i w:val="0"/>
          <w:iCs/>
        </w:rPr>
      </w:pPr>
      <w:r w:rsidRPr="001E7454">
        <w:rPr>
          <w:rFonts w:ascii="Times New Roman" w:hAnsi="Times New Roman" w:cs="Times New Roman"/>
          <w:b/>
          <w:bCs/>
          <w:i w:val="0"/>
          <w:iCs/>
        </w:rPr>
        <w:t>Figura 2.</w:t>
      </w:r>
      <w:r w:rsidRPr="001E7454">
        <w:rPr>
          <w:rFonts w:ascii="Times New Roman" w:hAnsi="Times New Roman" w:cs="Times New Roman"/>
          <w:i w:val="0"/>
          <w:iCs/>
        </w:rPr>
        <w:t xml:space="preserve"> Fotos Hemisféricas retiradas abaixo das copas das espécies focais. G. guidonia (A)., I. edulis (B)., N. membranacea (C). e P. gonoacantha (D) na Reserva Ecológica de Guapiaçu, Cachoeiras de Macacu – Rio de Janeiro</w:t>
      </w:r>
    </w:p>
    <w:p w14:paraId="50978A89" w14:textId="77777777" w:rsidR="001E7454" w:rsidRPr="001E7454" w:rsidRDefault="001E7454" w:rsidP="001E7454">
      <w:pPr>
        <w:pStyle w:val="ImageCaption"/>
        <w:spacing w:line="360" w:lineRule="auto"/>
        <w:jc w:val="both"/>
        <w:rPr>
          <w:rFonts w:ascii="Times New Roman" w:hAnsi="Times New Roman" w:cs="Times New Roman"/>
          <w:i w:val="0"/>
          <w:iCs/>
        </w:rPr>
      </w:pPr>
    </w:p>
    <w:p w14:paraId="40C0FB54" w14:textId="77777777" w:rsidR="002E0A81" w:rsidRPr="001E7454" w:rsidRDefault="00D80A78" w:rsidP="001E7454">
      <w:pPr>
        <w:pStyle w:val="Ttulo3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0" w:name="variáveis-analisadas"/>
      <w:r w:rsidRPr="001E7454">
        <w:rPr>
          <w:rFonts w:ascii="Times New Roman" w:hAnsi="Times New Roman" w:cs="Times New Roman"/>
          <w:sz w:val="24"/>
          <w:szCs w:val="24"/>
        </w:rPr>
        <w:t>Variáveis Analisadas</w:t>
      </w:r>
      <w:bookmarkEnd w:id="10"/>
    </w:p>
    <w:p w14:paraId="4676AC3E" w14:textId="77777777" w:rsidR="002E0A81" w:rsidRPr="001E7454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A densidade</w:t>
      </w:r>
      <w:r w:rsidRPr="001E7454">
        <w:rPr>
          <w:rFonts w:ascii="Times New Roman" w:hAnsi="Times New Roman" w:cs="Times New Roman"/>
        </w:rPr>
        <w:t xml:space="preserve"> das folhas na vegetação pode ser expressa quantitativamente por meio do índice de área foliar (IAF). Alguns pesquisadores adotaram a definição de IAF como metade da área foliar total por unidade de área de superfície do solo (Lang et al. 1991; Chen e Blac</w:t>
      </w:r>
      <w:r w:rsidRPr="001E7454">
        <w:rPr>
          <w:rFonts w:ascii="Times New Roman" w:hAnsi="Times New Roman" w:cs="Times New Roman"/>
        </w:rPr>
        <w:t xml:space="preserve">k, 1992), ao contrário da área projetada, que não funciona bem para todas as formas de folhas. O índice de área foliar (IAF) é amplamente utilizado para descrever a superfície fotossintética e transpiracional de copas de plantas e tem amplas aplicações em </w:t>
      </w:r>
      <w:r w:rsidRPr="001E7454">
        <w:rPr>
          <w:rFonts w:ascii="Times New Roman" w:hAnsi="Times New Roman" w:cs="Times New Roman"/>
        </w:rPr>
        <w:t xml:space="preserve">modelagem </w:t>
      </w:r>
      <w:r w:rsidRPr="001E7454">
        <w:rPr>
          <w:rFonts w:ascii="Times New Roman" w:hAnsi="Times New Roman" w:cs="Times New Roman"/>
        </w:rPr>
        <w:lastRenderedPageBreak/>
        <w:t>de balanço hídrico e caracterização de interações entre atmosfera e vegetação. (Rich et al. 1998)</w:t>
      </w:r>
    </w:p>
    <w:p w14:paraId="51BAA17C" w14:textId="77777777" w:rsidR="002E0A81" w:rsidRPr="001E7454" w:rsidRDefault="00D80A78" w:rsidP="001E7454">
      <w:pPr>
        <w:pStyle w:val="Corpodetexto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Nas análises das fotos, selecionamos como variável o fator de sítio direto. Fatores de sítio são índices da proporção de radiação que atinge um dete</w:t>
      </w:r>
      <w:r w:rsidRPr="001E7454">
        <w:rPr>
          <w:rFonts w:ascii="Times New Roman" w:hAnsi="Times New Roman" w:cs="Times New Roman"/>
        </w:rPr>
        <w:t>rminado local. Os valores variam de 0 a 1, com 0 sem radiação (obstrução completa do céu) e 1 sendo a radiação para um local aberto (visibilidade completa do céu = sem obstrução do céu). De acordo com Rich (1990) o fator de sítio direto (FSD) é a proporção</w:t>
      </w:r>
      <w:r w:rsidRPr="001E7454">
        <w:rPr>
          <w:rFonts w:ascii="Times New Roman" w:hAnsi="Times New Roman" w:cs="Times New Roman"/>
        </w:rPr>
        <w:t xml:space="preserve"> de radiação solar direta que atinge um determinado local, em relação </w:t>
      </w:r>
      <w:proofErr w:type="gramStart"/>
      <w:r w:rsidRPr="001E7454">
        <w:rPr>
          <w:rFonts w:ascii="Times New Roman" w:hAnsi="Times New Roman" w:cs="Times New Roman"/>
        </w:rPr>
        <w:t>a</w:t>
      </w:r>
      <w:proofErr w:type="gramEnd"/>
      <w:r w:rsidRPr="001E7454">
        <w:rPr>
          <w:rFonts w:ascii="Times New Roman" w:hAnsi="Times New Roman" w:cs="Times New Roman"/>
        </w:rPr>
        <w:t xml:space="preserve"> um local sem obstruções no céu, ou seja, acima do dossel. Fatores de sítio podem ser facilmente estimados a partir de fotografias de dossel, dadas as suposições sobre a contribuição da</w:t>
      </w:r>
      <w:r w:rsidRPr="001E7454">
        <w:rPr>
          <w:rFonts w:ascii="Times New Roman" w:hAnsi="Times New Roman" w:cs="Times New Roman"/>
        </w:rPr>
        <w:t xml:space="preserve"> radiação difusa e direta de cada setor do céu.</w:t>
      </w:r>
    </w:p>
    <w:p w14:paraId="7FD1FF83" w14:textId="77777777" w:rsidR="002E0A81" w:rsidRPr="001E7454" w:rsidRDefault="00D80A78" w:rsidP="001E7454">
      <w:pPr>
        <w:pStyle w:val="Ttulo3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1" w:name="análise-dos-dados"/>
      <w:r w:rsidRPr="001E7454">
        <w:rPr>
          <w:rFonts w:ascii="Times New Roman" w:hAnsi="Times New Roman" w:cs="Times New Roman"/>
          <w:sz w:val="24"/>
          <w:szCs w:val="24"/>
        </w:rPr>
        <w:t>Análise dos dados</w:t>
      </w:r>
      <w:bookmarkEnd w:id="11"/>
    </w:p>
    <w:p w14:paraId="36445341" w14:textId="60AA7765" w:rsidR="002E0A81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gramStart"/>
      <w:r w:rsidRPr="001E7454">
        <w:rPr>
          <w:rFonts w:ascii="Times New Roman" w:hAnsi="Times New Roman" w:cs="Times New Roman"/>
        </w:rPr>
        <w:t>A</w:t>
      </w:r>
      <w:proofErr w:type="gramEnd"/>
      <w:r w:rsidRPr="001E7454">
        <w:rPr>
          <w:rFonts w:ascii="Times New Roman" w:hAnsi="Times New Roman" w:cs="Times New Roman"/>
        </w:rPr>
        <w:t xml:space="preserve"> análise estatística foi analisa através do software R versão 1.2.5033. rimeiramente foi feito um teste de Levenne para avaliar a homogeinidade dos dados. Já a normalidade, foi avalisada at</w:t>
      </w:r>
      <w:r w:rsidRPr="001E7454">
        <w:rPr>
          <w:rFonts w:ascii="Times New Roman" w:hAnsi="Times New Roman" w:cs="Times New Roman"/>
        </w:rPr>
        <w:t xml:space="preserve">ravés de um teste de Shapiro-Wilk. Ambos os testes deram p&lt;0.05. Após as análises, os dados foram transformados utilizando Log. Uma ANOVA bigatorial foi utilizada usando as espécies, FSD e IAF. Ao final, foi feito um pós-teste de Tukey para avaliar as </w:t>
      </w:r>
      <w:proofErr w:type="spellStart"/>
      <w:r w:rsidRPr="001E7454">
        <w:rPr>
          <w:rFonts w:ascii="Times New Roman" w:hAnsi="Times New Roman" w:cs="Times New Roman"/>
        </w:rPr>
        <w:t>dife</w:t>
      </w:r>
      <w:r w:rsidRPr="001E7454">
        <w:rPr>
          <w:rFonts w:ascii="Times New Roman" w:hAnsi="Times New Roman" w:cs="Times New Roman"/>
        </w:rPr>
        <w:t>renças</w:t>
      </w:r>
      <w:proofErr w:type="spellEnd"/>
      <w:r w:rsidRPr="001E7454">
        <w:rPr>
          <w:rFonts w:ascii="Times New Roman" w:hAnsi="Times New Roman" w:cs="Times New Roman"/>
        </w:rPr>
        <w:t xml:space="preserve"> entre </w:t>
      </w:r>
      <w:proofErr w:type="spellStart"/>
      <w:r w:rsidRPr="001E7454">
        <w:rPr>
          <w:rFonts w:ascii="Times New Roman" w:hAnsi="Times New Roman" w:cs="Times New Roman"/>
        </w:rPr>
        <w:t>os</w:t>
      </w:r>
      <w:proofErr w:type="spellEnd"/>
      <w:r w:rsidRPr="001E7454">
        <w:rPr>
          <w:rFonts w:ascii="Times New Roman" w:hAnsi="Times New Roman" w:cs="Times New Roman"/>
        </w:rPr>
        <w:t xml:space="preserve"> </w:t>
      </w:r>
      <w:proofErr w:type="spellStart"/>
      <w:r w:rsidRPr="001E7454">
        <w:rPr>
          <w:rFonts w:ascii="Times New Roman" w:hAnsi="Times New Roman" w:cs="Times New Roman"/>
        </w:rPr>
        <w:t>tratamentos</w:t>
      </w:r>
      <w:proofErr w:type="spellEnd"/>
      <w:r w:rsidRPr="001E7454">
        <w:rPr>
          <w:rFonts w:ascii="Times New Roman" w:hAnsi="Times New Roman" w:cs="Times New Roman"/>
        </w:rPr>
        <w:t>.</w:t>
      </w:r>
    </w:p>
    <w:p w14:paraId="06B33E6D" w14:textId="77777777" w:rsidR="001E7454" w:rsidRPr="001E7454" w:rsidRDefault="001E7454" w:rsidP="001E7454">
      <w:pPr>
        <w:pStyle w:val="Corpodetexto"/>
        <w:spacing w:line="360" w:lineRule="auto"/>
      </w:pPr>
    </w:p>
    <w:p w14:paraId="763AB874" w14:textId="77777777" w:rsidR="002E0A81" w:rsidRPr="001E7454" w:rsidRDefault="00D80A78" w:rsidP="001E745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resultados"/>
      <w:r w:rsidRPr="001E7454">
        <w:rPr>
          <w:rFonts w:ascii="Times New Roman" w:hAnsi="Times New Roman" w:cs="Times New Roman"/>
          <w:sz w:val="24"/>
          <w:szCs w:val="24"/>
        </w:rPr>
        <w:t>Resultados</w:t>
      </w:r>
      <w:bookmarkEnd w:id="12"/>
    </w:p>
    <w:p w14:paraId="45C34429" w14:textId="77777777" w:rsidR="002E0A81" w:rsidRPr="001E7454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 xml:space="preserve">O ambiente luminoso no sub-bosque abaixo das copas foi diferente entre as </w:t>
      </w:r>
      <w:proofErr w:type="gramStart"/>
      <w:r w:rsidRPr="001E7454">
        <w:rPr>
          <w:rFonts w:ascii="Times New Roman" w:hAnsi="Times New Roman" w:cs="Times New Roman"/>
        </w:rPr>
        <w:t>espécies.O</w:t>
      </w:r>
      <w:proofErr w:type="gramEnd"/>
      <w:r w:rsidRPr="001E7454">
        <w:rPr>
          <w:rFonts w:ascii="Times New Roman" w:hAnsi="Times New Roman" w:cs="Times New Roman"/>
        </w:rPr>
        <w:t xml:space="preserve"> FSD e o IAF tiveram p&lt;0.05. A hipótese de que a variável fator de sítio direto (FSD) e índice de área foliar (IAF) seriam maiores p</w:t>
      </w:r>
      <w:r w:rsidRPr="001E7454">
        <w:rPr>
          <w:rFonts w:ascii="Times New Roman" w:hAnsi="Times New Roman" w:cs="Times New Roman"/>
        </w:rPr>
        <w:t>ara Inga edulis e Piptadenia gonoacantha e menores para Guarea guidonia e Nectandra membranacea foi confirmada (ver figura 3 e 4).</w:t>
      </w:r>
    </w:p>
    <w:p w14:paraId="6F1AA2D9" w14:textId="77777777" w:rsidR="002E0A81" w:rsidRPr="001E7454" w:rsidRDefault="00D80A78" w:rsidP="001E7454">
      <w:pPr>
        <w:pStyle w:val="CaptionedFigure"/>
        <w:spacing w:line="360" w:lineRule="auto"/>
        <w:jc w:val="center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48E111" wp14:editId="34EEF3F6">
            <wp:extent cx="5334000" cy="2778745"/>
            <wp:effectExtent l="0" t="0" r="0" b="0"/>
            <wp:docPr id="3" name="Picture" descr="Figura 3. Fator de Sítio Direto (MJ.m-2.yr-1) sob a copa das espécies Guarea guidonia, Inga edulis, Nectandra membranacea e Piptadenia gonoacantha na Reserva Ecológica de Guapiaçu – Rio de Janeir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output/FS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64362" w14:textId="77777777" w:rsidR="002E0A81" w:rsidRPr="001E7454" w:rsidRDefault="00D80A78" w:rsidP="001E7454">
      <w:pPr>
        <w:pStyle w:val="ImageCaption"/>
        <w:spacing w:line="360" w:lineRule="auto"/>
        <w:rPr>
          <w:rFonts w:ascii="Times New Roman" w:hAnsi="Times New Roman" w:cs="Times New Roman"/>
          <w:i w:val="0"/>
          <w:iCs/>
        </w:rPr>
      </w:pPr>
      <w:r w:rsidRPr="001E7454">
        <w:rPr>
          <w:rFonts w:ascii="Times New Roman" w:hAnsi="Times New Roman" w:cs="Times New Roman"/>
          <w:b/>
          <w:bCs/>
          <w:i w:val="0"/>
          <w:iCs/>
        </w:rPr>
        <w:t>Figura 3.</w:t>
      </w:r>
      <w:r w:rsidRPr="001E7454">
        <w:rPr>
          <w:rFonts w:ascii="Times New Roman" w:hAnsi="Times New Roman" w:cs="Times New Roman"/>
          <w:i w:val="0"/>
          <w:iCs/>
        </w:rPr>
        <w:t xml:space="preserve"> Fator de Sítio Direto (MJ.m-</w:t>
      </w:r>
      <w:proofErr w:type="gramStart"/>
      <w:r w:rsidRPr="001E7454">
        <w:rPr>
          <w:rFonts w:ascii="Times New Roman" w:hAnsi="Times New Roman" w:cs="Times New Roman"/>
          <w:i w:val="0"/>
          <w:iCs/>
        </w:rPr>
        <w:t>2.yr</w:t>
      </w:r>
      <w:proofErr w:type="gramEnd"/>
      <w:r w:rsidRPr="001E7454">
        <w:rPr>
          <w:rFonts w:ascii="Times New Roman" w:hAnsi="Times New Roman" w:cs="Times New Roman"/>
          <w:i w:val="0"/>
          <w:iCs/>
        </w:rPr>
        <w:t>-1) sob a copa das espécies Guarea guidonia, Inga edulis, Nectandra membranacea e</w:t>
      </w:r>
      <w:r w:rsidRPr="001E7454">
        <w:rPr>
          <w:rFonts w:ascii="Times New Roman" w:hAnsi="Times New Roman" w:cs="Times New Roman"/>
          <w:i w:val="0"/>
          <w:iCs/>
        </w:rPr>
        <w:t xml:space="preserve"> Piptadenia gonoacantha na Reserva Ecológica de Guapiaçu – Rio de Janeiro.</w:t>
      </w:r>
    </w:p>
    <w:p w14:paraId="7BB3FDCF" w14:textId="77777777" w:rsidR="002E0A81" w:rsidRPr="001E7454" w:rsidRDefault="00D80A78" w:rsidP="001E7454">
      <w:pPr>
        <w:pStyle w:val="CaptionedFigure"/>
        <w:spacing w:line="360" w:lineRule="auto"/>
        <w:jc w:val="center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  <w:noProof/>
        </w:rPr>
        <w:drawing>
          <wp:inline distT="0" distB="0" distL="0" distR="0" wp14:anchorId="4E11F357" wp14:editId="21B13BAE">
            <wp:extent cx="5334000" cy="2778745"/>
            <wp:effectExtent l="0" t="0" r="0" b="0"/>
            <wp:docPr id="4" name="Picture" descr="Figura 4. Índice de Área Foliar (m2/m2) sob a copa das espécies Guarea guidonia, Inga edulis, Nectandra membranacea e Piptadenia gonoacantha na Reserva Ecológica de Guapiaçu – Rio de Janeir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output/IAF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1CEE1A" w14:textId="77777777" w:rsidR="002E0A81" w:rsidRPr="001E7454" w:rsidRDefault="00D80A78" w:rsidP="001E7454">
      <w:pPr>
        <w:pStyle w:val="ImageCaption"/>
        <w:spacing w:line="360" w:lineRule="auto"/>
        <w:jc w:val="both"/>
        <w:rPr>
          <w:rFonts w:ascii="Times New Roman" w:hAnsi="Times New Roman" w:cs="Times New Roman"/>
          <w:i w:val="0"/>
          <w:iCs/>
        </w:rPr>
      </w:pPr>
      <w:r w:rsidRPr="001E7454">
        <w:rPr>
          <w:rFonts w:ascii="Times New Roman" w:hAnsi="Times New Roman" w:cs="Times New Roman"/>
          <w:b/>
          <w:bCs/>
          <w:i w:val="0"/>
          <w:iCs/>
        </w:rPr>
        <w:t>Figura 4.</w:t>
      </w:r>
      <w:r w:rsidRPr="001E7454">
        <w:rPr>
          <w:rFonts w:ascii="Times New Roman" w:hAnsi="Times New Roman" w:cs="Times New Roman"/>
          <w:i w:val="0"/>
          <w:iCs/>
        </w:rPr>
        <w:t xml:space="preserve"> Índice de Área Foliar (m2/m2) sob a copa das espécies Guarea guidonia, Inga edulis, Nectandra membranacea e Piptadenia gonoacantha na Reserva Ecológica de Guapiaçu – Rio</w:t>
      </w:r>
      <w:r w:rsidRPr="001E7454">
        <w:rPr>
          <w:rFonts w:ascii="Times New Roman" w:hAnsi="Times New Roman" w:cs="Times New Roman"/>
          <w:i w:val="0"/>
          <w:iCs/>
        </w:rPr>
        <w:t xml:space="preserve"> de Janeiro.</w:t>
      </w:r>
    </w:p>
    <w:p w14:paraId="47E737AF" w14:textId="77777777" w:rsidR="002E0A81" w:rsidRPr="001E7454" w:rsidRDefault="00D80A78" w:rsidP="001E7454">
      <w:pPr>
        <w:pStyle w:val="Corpodetexto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 xml:space="preserve">Comparando as espécies separadamente para analisar </w:t>
      </w:r>
      <w:proofErr w:type="gramStart"/>
      <w:r w:rsidRPr="001E7454">
        <w:rPr>
          <w:rFonts w:ascii="Times New Roman" w:hAnsi="Times New Roman" w:cs="Times New Roman"/>
        </w:rPr>
        <w:t>a</w:t>
      </w:r>
      <w:proofErr w:type="gramEnd"/>
      <w:r w:rsidRPr="001E7454">
        <w:rPr>
          <w:rFonts w:ascii="Times New Roman" w:hAnsi="Times New Roman" w:cs="Times New Roman"/>
        </w:rPr>
        <w:t xml:space="preserve"> ocorrência de variação entre o mês de julho e novembro, I. edulis apresentou diferença significativa em seu IAF.</w:t>
      </w:r>
    </w:p>
    <w:p w14:paraId="0C4FFF0E" w14:textId="77777777" w:rsidR="002E0A81" w:rsidRPr="001E7454" w:rsidRDefault="00D80A78" w:rsidP="001E745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discussão"/>
      <w:r w:rsidRPr="001E7454">
        <w:rPr>
          <w:rFonts w:ascii="Times New Roman" w:hAnsi="Times New Roman" w:cs="Times New Roman"/>
          <w:sz w:val="24"/>
          <w:szCs w:val="24"/>
        </w:rPr>
        <w:lastRenderedPageBreak/>
        <w:t>Discussão</w:t>
      </w:r>
      <w:bookmarkEnd w:id="13"/>
    </w:p>
    <w:p w14:paraId="73F884B0" w14:textId="77777777" w:rsidR="002E0A81" w:rsidRPr="001E7454" w:rsidRDefault="00D80A78" w:rsidP="001E7454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 xml:space="preserve">As diferenças observadas no padrão de luz </w:t>
      </w:r>
      <w:proofErr w:type="gramStart"/>
      <w:r w:rsidRPr="001E7454">
        <w:rPr>
          <w:rFonts w:ascii="Times New Roman" w:hAnsi="Times New Roman" w:cs="Times New Roman"/>
        </w:rPr>
        <w:t>sob</w:t>
      </w:r>
      <w:proofErr w:type="gramEnd"/>
      <w:r w:rsidRPr="001E7454">
        <w:rPr>
          <w:rFonts w:ascii="Times New Roman" w:hAnsi="Times New Roman" w:cs="Times New Roman"/>
        </w:rPr>
        <w:t xml:space="preserve"> a copa das diferentes</w:t>
      </w:r>
      <w:r w:rsidRPr="001E7454">
        <w:rPr>
          <w:rFonts w:ascii="Times New Roman" w:hAnsi="Times New Roman" w:cs="Times New Roman"/>
        </w:rPr>
        <w:t xml:space="preserve"> espécies arbóreas corroboram a hipótese dos filtros ecológicos, testada pelo estudo. Uma provável causa da heterogeneidade leve do sub-bosque, dentro e entre as comunidades, é a composição de espécies de dossel. Lee (1989) afirma que mudanças no grau de c</w:t>
      </w:r>
      <w:r w:rsidRPr="001E7454">
        <w:rPr>
          <w:rFonts w:ascii="Times New Roman" w:hAnsi="Times New Roman" w:cs="Times New Roman"/>
        </w:rPr>
        <w:t>obertura do dossel determinaram em grande parte a quantidade de luz disponível no sub-bosque florestal.</w:t>
      </w:r>
    </w:p>
    <w:p w14:paraId="20075484" w14:textId="77777777" w:rsidR="002E0A81" w:rsidRPr="001E7454" w:rsidRDefault="00D80A78" w:rsidP="001E7454">
      <w:pPr>
        <w:pStyle w:val="Corpodetexto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 xml:space="preserve">Nesse estudo podemos perceber que mesmo o reflorestamento sendo jovem e apresentando apenas 10 anos de idade, existe uma diferença significativa abaixo </w:t>
      </w:r>
      <w:r w:rsidRPr="001E7454">
        <w:rPr>
          <w:rFonts w:ascii="Times New Roman" w:hAnsi="Times New Roman" w:cs="Times New Roman"/>
        </w:rPr>
        <w:t>das copas das diferentes espécies arbóreas estudadas, o que contribui para diferentes microhabitats com padrões de luz diversificados.</w:t>
      </w:r>
    </w:p>
    <w:p w14:paraId="54421A1A" w14:textId="77777777" w:rsidR="002E0A81" w:rsidRPr="001E7454" w:rsidRDefault="00D80A78" w:rsidP="001E745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referências"/>
      <w:r w:rsidRPr="001E7454">
        <w:rPr>
          <w:rFonts w:ascii="Times New Roman" w:hAnsi="Times New Roman" w:cs="Times New Roman"/>
          <w:sz w:val="24"/>
          <w:szCs w:val="24"/>
        </w:rPr>
        <w:t>Referências</w:t>
      </w:r>
      <w:bookmarkEnd w:id="14"/>
    </w:p>
    <w:p w14:paraId="06F04299" w14:textId="77777777" w:rsidR="002E0A81" w:rsidRPr="001E7454" w:rsidRDefault="00D80A78" w:rsidP="001E7454">
      <w:pPr>
        <w:pStyle w:val="FirstParagraph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Abreu R. C. R; Santos F. F. M &amp; Durigan G. 2013. Changes in plant community of Seasonally Semideciduous Fores</w:t>
      </w:r>
      <w:r w:rsidRPr="001E7454">
        <w:rPr>
          <w:rFonts w:ascii="Times New Roman" w:hAnsi="Times New Roman" w:cs="Times New Roman"/>
        </w:rPr>
        <w:t>t after invasion of Schizolobium parahyba at southeastern Brazil. Acta Oecologia. 54: 57-64.</w:t>
      </w:r>
    </w:p>
    <w:p w14:paraId="4A379151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Azevedo, A. D. Composição florística e estoque de carbono em áreas de recuperação da mata atlântica na bacia do rio guapiaçu, Cachoeiras de Macacu, RJ. Dissertação</w:t>
      </w:r>
      <w:r w:rsidRPr="001E7454">
        <w:rPr>
          <w:rFonts w:ascii="Times New Roman" w:hAnsi="Times New Roman" w:cs="Times New Roman"/>
        </w:rPr>
        <w:t>. Universidade Federal Rural do Rio de Janeiro, Seropédica, Rio de Janeiro. 162 p, 2012.</w:t>
      </w:r>
    </w:p>
    <w:p w14:paraId="50CEB0EF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Callaway, R. M. 1994. Facilitative and interfering effects of Anthrocnemum subterminale on winter annuals. Ecology 75:681–686.</w:t>
      </w:r>
    </w:p>
    <w:p w14:paraId="246698DE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Chen, J.M., and T.A. Black. 1992. Defini</w:t>
      </w:r>
      <w:r w:rsidRPr="001E7454">
        <w:rPr>
          <w:rFonts w:ascii="Times New Roman" w:hAnsi="Times New Roman" w:cs="Times New Roman"/>
        </w:rPr>
        <w:t>ng leaf area index for non-flat leaves. Plant, Cell and Environment 15:421-429.</w:t>
      </w:r>
    </w:p>
    <w:p w14:paraId="0F034089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Galdolfi, S.; Joly, C. A.; Rodrigues, R. R. Permeability- impermeability: canopy trees as biodiversity filters. Scientific Agriculture 64(4): 433-438, 2007.</w:t>
      </w:r>
    </w:p>
    <w:p w14:paraId="0ACF90FA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Gandolfi, S. 2000. História natural de uma floresta estacional semidecidual no município de Campina</w:t>
      </w:r>
      <w:r w:rsidRPr="001E7454">
        <w:rPr>
          <w:rFonts w:ascii="Times New Roman" w:hAnsi="Times New Roman" w:cs="Times New Roman"/>
        </w:rPr>
        <w:t>s (São Paulo, Brasil). Tese de Doutorado, Universidade Estadual de Campinas, São Paulo.</w:t>
      </w:r>
    </w:p>
    <w:p w14:paraId="57F98C0E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lastRenderedPageBreak/>
        <w:t>George, L. O. &amp; Bazzaz, F. A. 1999. The furn understory as an ecological filter: emergenge and stablishment of canopy-tree seedlings. Ecology. 80: 833-845</w:t>
      </w:r>
    </w:p>
    <w:p w14:paraId="1B7EC8A2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 xml:space="preserve">Goldberg, D. </w:t>
      </w:r>
      <w:r w:rsidRPr="001E7454">
        <w:rPr>
          <w:rFonts w:ascii="Times New Roman" w:hAnsi="Times New Roman" w:cs="Times New Roman"/>
        </w:rPr>
        <w:t>E. 1990. Components of resource competition in plant communities. Pages 27–49 in J. B. Grace and D. Tilman, editors. Perspectives on plant competition. Academic Press, New York, New York, USA.</w:t>
      </w:r>
    </w:p>
    <w:p w14:paraId="69E3B6A1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Lang, A.R.G., R.E. McMurtrie, and M.L. Benson. 1991. Validity o</w:t>
      </w:r>
      <w:r w:rsidRPr="001E7454">
        <w:rPr>
          <w:rFonts w:ascii="Times New Roman" w:hAnsi="Times New Roman" w:cs="Times New Roman"/>
        </w:rPr>
        <w:t>f surface área indices of Pinus radiata estimated from transmittance of the sun’s beam. Agricultural and Forest Meteorology. 37:229-243.</w:t>
      </w:r>
    </w:p>
    <w:p w14:paraId="5FE23F23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Lee, D.W. 1989. Canopy dynamics and light climates in a tropical moist deciduous forest in India. Journal of Tropical E</w:t>
      </w:r>
      <w:r w:rsidRPr="001E7454">
        <w:rPr>
          <w:rFonts w:ascii="Times New Roman" w:hAnsi="Times New Roman" w:cs="Times New Roman"/>
        </w:rPr>
        <w:t>cology. 5:65-79.</w:t>
      </w:r>
    </w:p>
    <w:p w14:paraId="059D1D33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Peters H. A.; Pauw A.; Silman M. R. &amp; Terborgh J. W. 2004. Falling palm fronds structure Amazonian rainforest sapling communities. Proceedings of the Royal Society of London B. (Suppl.) 271: 369-369</w:t>
      </w:r>
    </w:p>
    <w:p w14:paraId="7775EE30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Rich, P.M., 1990. Characterizing plant canopies with hemispherical photo- graphs. Remote Sens. Rev. 5, 13–29.</w:t>
      </w:r>
    </w:p>
    <w:p w14:paraId="023F9E47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Rich, P.M., Wood, J., Vieglais, D.A., Burek, K., Webb, N. 1998. HemiView Manual Revision Number: 2.1</w:t>
      </w:r>
    </w:p>
    <w:p w14:paraId="5DA7C090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Souza, F. M. 2007. Associações entre as espéc</w:t>
      </w:r>
      <w:r w:rsidRPr="001E7454">
        <w:rPr>
          <w:rFonts w:ascii="Times New Roman" w:hAnsi="Times New Roman" w:cs="Times New Roman"/>
        </w:rPr>
        <w:t>ies arbóreas do dossel e do subosque em uma Floresta Estacional Semidecidual. Tese de Doutorado – Universidade Estadual de Campinas 97p.</w:t>
      </w:r>
    </w:p>
    <w:p w14:paraId="07934C0E" w14:textId="77777777" w:rsidR="002E0A81" w:rsidRPr="001E7454" w:rsidRDefault="00D80A78" w:rsidP="001E7454">
      <w:pPr>
        <w:pStyle w:val="Corpodetexto"/>
        <w:spacing w:line="360" w:lineRule="auto"/>
        <w:jc w:val="both"/>
        <w:rPr>
          <w:rFonts w:ascii="Times New Roman" w:hAnsi="Times New Roman" w:cs="Times New Roman"/>
        </w:rPr>
      </w:pPr>
      <w:r w:rsidRPr="001E7454">
        <w:rPr>
          <w:rFonts w:ascii="Times New Roman" w:hAnsi="Times New Roman" w:cs="Times New Roman"/>
        </w:rPr>
        <w:t>Souza, F. M., Gangolfi, S.; Rodrigues, R. R. 2014. Deciduousness Influences the Understory Community in a Semideciduous</w:t>
      </w:r>
      <w:r w:rsidRPr="001E7454">
        <w:rPr>
          <w:rFonts w:ascii="Times New Roman" w:hAnsi="Times New Roman" w:cs="Times New Roman"/>
        </w:rPr>
        <w:t xml:space="preserve"> Tropical Forest. Biotropica. 46:512-515.</w:t>
      </w:r>
    </w:p>
    <w:sectPr w:rsidR="002E0A81" w:rsidRPr="001E7454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02A81" w14:textId="77777777" w:rsidR="00D80A78" w:rsidRDefault="00D80A78">
      <w:pPr>
        <w:spacing w:after="0"/>
      </w:pPr>
      <w:r>
        <w:separator/>
      </w:r>
    </w:p>
  </w:endnote>
  <w:endnote w:type="continuationSeparator" w:id="0">
    <w:p w14:paraId="526BE8E6" w14:textId="77777777" w:rsidR="00D80A78" w:rsidRDefault="00D80A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2C1CC" w14:textId="77777777" w:rsidR="00D80A78" w:rsidRDefault="00D80A78">
      <w:r>
        <w:separator/>
      </w:r>
    </w:p>
  </w:footnote>
  <w:footnote w:type="continuationSeparator" w:id="0">
    <w:p w14:paraId="28C27345" w14:textId="77777777" w:rsidR="00D80A78" w:rsidRDefault="00D80A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AE401"/>
    <w:multiLevelType w:val="multilevel"/>
    <w:tmpl w:val="1CC2B5D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E7454"/>
    <w:rsid w:val="002E0A81"/>
    <w:rsid w:val="004E29B3"/>
    <w:rsid w:val="00590D07"/>
    <w:rsid w:val="00784D58"/>
    <w:rsid w:val="008D6863"/>
    <w:rsid w:val="00B86B75"/>
    <w:rsid w:val="00BC48D5"/>
    <w:rsid w:val="00C36279"/>
    <w:rsid w:val="00D80A78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5C9D2"/>
  <w15:docId w15:val="{FC8450DE-B334-4B27-895C-B04A7A728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orpodetexto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Corpodetexto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denotaderodap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4F81BD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2035</Words>
  <Characters>10990</Characters>
  <Application>Microsoft Office Word</Application>
  <DocSecurity>0</DocSecurity>
  <Lines>91</Lines>
  <Paragraphs>25</Paragraphs>
  <ScaleCrop>false</ScaleCrop>
  <Company/>
  <LinksUpToDate>false</LinksUpToDate>
  <CharactersWithSpaces>13000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Heterogeneidade do ambiente luminoso sob a copa de espécies arbóreas:implicações para a restauração ecológica da Mata Atlântica</dc:title>
  <dc:creator>Fernanda da Cunha</dc:creator>
  <cp:keywords/>
  <cp:lastModifiedBy>Fernanda Cunha</cp:lastModifiedBy>
  <cp:revision>2</cp:revision>
  <dcterms:created xsi:type="dcterms:W3CDTF">2020-03-21T21:42:00Z</dcterms:created>
  <dcterms:modified xsi:type="dcterms:W3CDTF">2020-03-21T21:42:00Z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21/03/2020</vt:lpwstr>
  </property>
  <property fmtid="{D5CDD505-2E9C-101B-9397-08002B2CF9AE}" pid="3" name="output">
    <vt:lpwstr/>
  </property>
</Properties>
</file>