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12/11/2023</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Fernando Balen</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r w:rsidDel="00000000" w:rsidR="00000000" w:rsidRPr="00000000">
        <w:rPr>
          <w:highlight w:val="white"/>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1fob9te" w:id="2"/>
      <w:bookmarkEnd w:id="2"/>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0">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3znysh7" w:id="3"/>
      <w:bookmarkEnd w:id="3"/>
      <w:r w:rsidDel="00000000" w:rsidR="00000000" w:rsidRPr="00000000">
        <w:rPr>
          <w:rtl w:val="0"/>
        </w:rPr>
        <w:t xml:space="preserve">Developer</w:t>
      </w:r>
    </w:p>
    <w:p w:rsidR="00000000" w:rsidDel="00000000" w:rsidP="00000000" w:rsidRDefault="00000000" w:rsidRPr="00000000" w14:paraId="00000034">
      <w:pPr>
        <w:spacing w:after="0" w:line="240" w:lineRule="auto"/>
        <w:rPr/>
      </w:pPr>
      <w:r w:rsidDel="00000000" w:rsidR="00000000" w:rsidRPr="00000000">
        <w:rPr>
          <w:rtl w:val="0"/>
        </w:rPr>
        <w:t xml:space="preserve">Fernando Balen</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2et92p0" w:id="4"/>
      <w:bookmarkEnd w:id="4"/>
      <w:r w:rsidDel="00000000" w:rsidR="00000000" w:rsidRPr="00000000">
        <w:rPr>
          <w:rtl w:val="0"/>
        </w:rPr>
        <w:t xml:space="preserve">1. Interpreting Client Needs</w:t>
      </w:r>
    </w:p>
    <w:p w:rsidR="00000000" w:rsidDel="00000000" w:rsidP="00000000" w:rsidRDefault="00000000" w:rsidRPr="00000000" w14:paraId="00000037">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1080" w:hanging="360"/>
        <w:rPr/>
      </w:pPr>
      <w:r w:rsidDel="00000000" w:rsidR="00000000" w:rsidRPr="00000000">
        <w:rPr>
          <w:rtl w:val="0"/>
        </w:rPr>
        <w:t xml:space="preserve">What is the value of secure communications to the company?</w:t>
      </w:r>
    </w:p>
    <w:p w:rsidR="00000000" w:rsidDel="00000000" w:rsidP="00000000" w:rsidRDefault="00000000" w:rsidRPr="00000000" w14:paraId="0000003A">
      <w:pPr>
        <w:numPr>
          <w:ilvl w:val="0"/>
          <w:numId w:val="3"/>
        </w:numPr>
        <w:spacing w:after="0" w:line="240" w:lineRule="auto"/>
        <w:ind w:left="1080" w:hanging="360"/>
        <w:rPr/>
      </w:pPr>
      <w:r w:rsidDel="00000000" w:rsidR="00000000" w:rsidRPr="00000000">
        <w:rPr>
          <w:rtl w:val="0"/>
        </w:rPr>
        <w:t xml:space="preserve">Are there any international transactions that the company produces?</w:t>
      </w:r>
    </w:p>
    <w:p w:rsidR="00000000" w:rsidDel="00000000" w:rsidP="00000000" w:rsidRDefault="00000000" w:rsidRPr="00000000" w14:paraId="0000003B">
      <w:pPr>
        <w:numPr>
          <w:ilvl w:val="0"/>
          <w:numId w:val="3"/>
        </w:numPr>
        <w:spacing w:after="0" w:line="240" w:lineRule="auto"/>
        <w:ind w:left="1080" w:hanging="360"/>
        <w:rPr/>
      </w:pPr>
      <w:r w:rsidDel="00000000" w:rsidR="00000000" w:rsidRPr="00000000">
        <w:rPr>
          <w:rtl w:val="0"/>
        </w:rPr>
        <w:t xml:space="preserve">Are there governmental restrictions about secure communications to consider?</w:t>
      </w:r>
    </w:p>
    <w:p w:rsidR="00000000" w:rsidDel="00000000" w:rsidP="00000000" w:rsidRDefault="00000000" w:rsidRPr="00000000" w14:paraId="0000003C">
      <w:pPr>
        <w:numPr>
          <w:ilvl w:val="0"/>
          <w:numId w:val="3"/>
        </w:numPr>
        <w:spacing w:after="0" w:line="240" w:lineRule="auto"/>
        <w:ind w:left="1080" w:hanging="360"/>
        <w:rPr/>
      </w:pPr>
      <w:r w:rsidDel="00000000" w:rsidR="00000000" w:rsidRPr="00000000">
        <w:rPr>
          <w:rtl w:val="0"/>
        </w:rPr>
        <w:t xml:space="preserve">What external threats might be present now and in the immediate future?</w:t>
      </w:r>
    </w:p>
    <w:p w:rsidR="00000000" w:rsidDel="00000000" w:rsidP="00000000" w:rsidRDefault="00000000" w:rsidRPr="00000000" w14:paraId="0000003D">
      <w:pPr>
        <w:numPr>
          <w:ilvl w:val="0"/>
          <w:numId w:val="3"/>
        </w:numPr>
        <w:spacing w:after="0" w:line="240" w:lineRule="auto"/>
        <w:ind w:left="1080" w:hanging="360"/>
        <w:rPr/>
      </w:pPr>
      <w:r w:rsidDel="00000000" w:rsidR="00000000" w:rsidRPr="00000000">
        <w:rPr>
          <w:rtl w:val="0"/>
        </w:rPr>
        <w:t xml:space="preserve">What are the “modernization” requirements that must be considered, such as the role of open-source libraries and evolving web application technologies?</w:t>
      </w:r>
    </w:p>
    <w:p w:rsidR="00000000" w:rsidDel="00000000" w:rsidP="00000000" w:rsidRDefault="00000000" w:rsidRPr="00000000" w14:paraId="0000003E">
      <w:pPr>
        <w:spacing w:after="0" w:line="240" w:lineRule="auto"/>
        <w:ind w:left="1080" w:firstLine="0"/>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Artemis Financial is a financial firm that deals with both internal and external priority information for their clients, with that secure communication both external and internal would be very important to the company.  Additionally, as Artemis Financial is a financial firm I would expect transaction to come from both domestic and abroad sources. Currently no state and federal restrictions on secure communications are currently in place though security should still be upheld with communication as no, Artemis Financial will need to ensure their communications external and internal will need to be secured to prevent leaking customer information. As Artemis Financial will handle financial information and proprietary client information such as biometric information, social security number, and account information the need to mask information when both storing and transmitting is required not to mention any trade secrets kept within Artemis Financial. With respect to modernization Artemis Financial needs to ensure that their library’s stay up to date within their application to ensure the current fixes for bugs and security threats are implemented. </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pStyle w:val="Heading2"/>
        <w:rPr/>
      </w:pPr>
      <w:bookmarkStart w:colFirst="0" w:colLast="0" w:name="_tyjcwt" w:id="5"/>
      <w:bookmarkEnd w:id="5"/>
      <w:r w:rsidDel="00000000" w:rsidR="00000000" w:rsidRPr="00000000">
        <w:rPr>
          <w:rtl w:val="0"/>
        </w:rPr>
        <w:t xml:space="preserve">2. Areas of Security</w:t>
      </w:r>
    </w:p>
    <w:p w:rsidR="00000000" w:rsidDel="00000000" w:rsidP="00000000" w:rsidRDefault="00000000" w:rsidRPr="00000000" w14:paraId="00000043">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After assessing Artemis Financial areas of security, I’ve identified these potential vulnerabilities.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validation – When collecting user input it is validation is crucial. As this program does allow input string validation is necessary to avoid any potential failures or SQL injection.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APIs – As this application will run not just internally but externally as well such as on end users web browser a well-developed API will be necessary. As this API will define how an end user will interact with the program it should determine which methods to access data are acceptable. As this software may work in tandem with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party software a secure API will be necessary.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Cryptography – Cryptography is necessary as international transfers with proprietary customer information will be included with the transfers. The data should be secured in a fashion that can comply to both North American regulation and any regulation to its destination country.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Error – This should work in tandem with the API and Input validation. Proper error handling will be necessary especially when dealing with input validation to prevent unauthorized access or privilege access violations.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quality – When working with an end user including input and API the code quality is imperative to ensure that there is no unintentional data exposure. Additionally, it will keep from allowing the methods from being accessed by end users that are not authorized to them by their user levels.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pStyle w:val="Heading2"/>
        <w:rPr/>
      </w:pPr>
      <w:bookmarkStart w:colFirst="0" w:colLast="0" w:name="_3dy6vkm" w:id="6"/>
      <w:bookmarkEnd w:id="6"/>
      <w:r w:rsidDel="00000000" w:rsidR="00000000" w:rsidRPr="00000000">
        <w:rPr>
          <w:rtl w:val="0"/>
        </w:rPr>
        <w:t xml:space="preserve">3. Manual Review</w:t>
      </w:r>
    </w:p>
    <w:p w:rsidR="00000000" w:rsidDel="00000000" w:rsidP="00000000" w:rsidRDefault="00000000" w:rsidRPr="00000000" w14:paraId="0000004D">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Following along with the vulnerability assessment process flow I first started by reviewing for input validation. I started by checking the POM.XML file for any Apache validator. Then moved into the greeting controller, the input used here did not appear to use any validation. Again, I was not able to verify if this was validated as there was no output. Next, I checked for an API, and was unable to find any working API though the program was still able to access data granted unsecured. The program accesses the data via the URL vs through the POST method which can leak into the browser history and be exploited. This program still accepts input via the URL, though it doesn’t display anything this could still be exploited as the program is still taking raw user input. As there is no API the program has no way for an end user to understand how to interact with it unless accessing the code. When an API is designed for it to be a RESTful API it needs to have a distinct way the user interacts with it.  With Input Validation and API out of the way I moved onto checking for cryptography. I did not find any type of data encryption at all. Artemis Financial would need to develop some type of data encryption for both storing information as well as sending international transactions that can comply with international regulations. When scanning the code for error handling I found that the DocData.java class did not contain any error handling and includes a try and catch blocks, no other error handling was evaluated. Finally, the code quality was excellent though lacking an API so not fully functioning leaving the program real unuser-friendly. Additionally, the lack of input validation and the input being handled in the URL instead of via the post method can cause leaks into the browser history aren’t superb and can cause data compromise. </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pStyle w:val="Heading2"/>
        <w:rPr/>
      </w:pPr>
      <w:bookmarkStart w:colFirst="0" w:colLast="0" w:name="_1t3h5sf" w:id="7"/>
      <w:bookmarkEnd w:id="7"/>
      <w:r w:rsidDel="00000000" w:rsidR="00000000" w:rsidRPr="00000000">
        <w:rPr>
          <w:rtl w:val="0"/>
        </w:rPr>
        <w:t xml:space="preserve">4. Static Testing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dependency check on Artemis Financial’s software application to identify all security vulnerabilities in the code. Record the output from dependency check report. Include the following: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89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3"/>
        <w:gridCol w:w="2677"/>
        <w:gridCol w:w="3344"/>
        <w:gridCol w:w="3496"/>
        <w:tblGridChange w:id="0">
          <w:tblGrid>
            <w:gridCol w:w="1373"/>
            <w:gridCol w:w="2677"/>
            <w:gridCol w:w="3344"/>
            <w:gridCol w:w="3496"/>
          </w:tblGrid>
        </w:tblGridChange>
      </w:tblGrid>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Vulnerability</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log4j-api-2.12.1.jar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982.0" w:type="dxa"/>
              <w:jc w:val="left"/>
              <w:tblLayout w:type="fixed"/>
              <w:tblLook w:val="0400"/>
            </w:tblPr>
            <w:tblGrid>
              <w:gridCol w:w="95"/>
              <w:gridCol w:w="3887"/>
              <w:tblGridChange w:id="0">
                <w:tblGrid>
                  <w:gridCol w:w="95"/>
                  <w:gridCol w:w="3887"/>
                </w:tblGrid>
              </w:tblGridChange>
            </w:tblGrid>
            <w:tr>
              <w:trPr>
                <w:cantSplit w:val="0"/>
                <w:tblHeader w:val="0"/>
              </w:trPr>
              <w:tc>
                <w:tcPr>
                  <w:vAlign w:val="center"/>
                </w:tcPr>
                <w:p w:rsidR="00000000" w:rsidDel="00000000" w:rsidP="00000000" w:rsidRDefault="00000000" w:rsidRPr="00000000" w14:paraId="00000060">
                  <w:pPr>
                    <w:rPr/>
                  </w:pPr>
                  <w:r w:rsidDel="00000000" w:rsidR="00000000" w:rsidRPr="00000000">
                    <w:rPr>
                      <w:rtl w:val="0"/>
                    </w:rPr>
                  </w:r>
                </w:p>
              </w:tc>
              <w:tc>
                <w:tcPr>
                  <w:vAlign w:val="center"/>
                </w:tcPr>
                <w:p w:rsidR="00000000" w:rsidDel="00000000" w:rsidP="00000000" w:rsidRDefault="00000000" w:rsidRPr="00000000" w14:paraId="00000061">
                  <w:pPr>
                    <w:rPr>
                      <w:sz w:val="24"/>
                      <w:szCs w:val="24"/>
                    </w:rPr>
                  </w:pPr>
                  <w:r w:rsidDel="00000000" w:rsidR="00000000" w:rsidRPr="00000000">
                    <w:rPr>
                      <w:rtl w:val="0"/>
                    </w:rPr>
                    <w:t xml:space="preserve">cpe:2.3:a:apache:log4j:2.12.1:*:*:*:*:*:*:*</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Improper validation of certificate with host mismatch in Apache Log4j SMTP appender. This could allow an SMTPS connection to be intercepted by a man-in-the-middle attack which could leak any log messages sent through that appender.</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 to 2.13.2 which supports this feature. Previous versions can set the system property mail.smtp.ssl.checkserveridentity to true to globally enable hostname verification for SMTPS connections.</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tomcat-embed-core-9.0.30.jar</w:t>
            </w:r>
          </w:p>
        </w:tc>
        <w:tc>
          <w:tcPr/>
          <w:p w:rsidR="00000000" w:rsidDel="00000000" w:rsidP="00000000" w:rsidRDefault="00000000" w:rsidRPr="00000000" w14:paraId="00000066">
            <w:pPr>
              <w:spacing w:after="0" w:line="240" w:lineRule="auto"/>
              <w:rPr/>
            </w:pPr>
            <w:r w:rsidDel="00000000" w:rsidR="00000000" w:rsidRPr="00000000">
              <w:rPr>
                <w:rtl w:val="0"/>
              </w:rPr>
              <w:t xml:space="preserve">cpe:2.3:a:apache:tomcat:9.0.30:*:*:*:*:*:*:*</w:t>
            </w:r>
          </w:p>
          <w:p w:rsidR="00000000" w:rsidDel="00000000" w:rsidP="00000000" w:rsidRDefault="00000000" w:rsidRPr="00000000" w14:paraId="00000067">
            <w:pPr>
              <w:spacing w:after="0" w:line="240" w:lineRule="auto"/>
              <w:rPr/>
            </w:pPr>
            <w:r w:rsidDel="00000000" w:rsidR="00000000" w:rsidRPr="00000000">
              <w:rPr>
                <w:rtl w:val="0"/>
              </w:rPr>
              <w:t xml:space="preserve">cpe:2.3:a:apache_software_foundation:tomcat:9.0.30:*:*:*:*:*:*:*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cpe:2.3:a:apache_tomcat:apache_tomcat:9.0.30:*:*:*:*:*:*:*</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Upgrade to Apache Tomcat 10.0.6 or later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tomcat-embed-websocket-9.0.30.jar</w:t>
            </w:r>
          </w:p>
        </w:tc>
        <w:tc>
          <w:tcPr/>
          <w:p w:rsidR="00000000" w:rsidDel="00000000" w:rsidP="00000000" w:rsidRDefault="00000000" w:rsidRPr="00000000" w14:paraId="0000006D">
            <w:pPr>
              <w:spacing w:after="0" w:line="240" w:lineRule="auto"/>
              <w:rPr/>
            </w:pPr>
            <w:r w:rsidDel="00000000" w:rsidR="00000000" w:rsidRPr="00000000">
              <w:rPr>
                <w:rtl w:val="0"/>
              </w:rPr>
              <w:t xml:space="preserve">cpe:2.3:a:apache:tomcat:9.0.30:*:*:*:*:*:*:*</w:t>
            </w:r>
          </w:p>
          <w:p w:rsidR="00000000" w:rsidDel="00000000" w:rsidP="00000000" w:rsidRDefault="00000000" w:rsidRPr="00000000" w14:paraId="0000006E">
            <w:pPr>
              <w:spacing w:after="0" w:line="240" w:lineRule="auto"/>
              <w:rPr/>
            </w:pPr>
            <w:r w:rsidDel="00000000" w:rsidR="00000000" w:rsidRPr="00000000">
              <w:rPr>
                <w:rtl w:val="0"/>
              </w:rPr>
              <w:t xml:space="preserve">cpe:2.3:a:apache_software_foundation:tomcat:9.0.30:*:*:*:*:*:*:*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cpe:2.3:a:apache_tomcat:apache_tomcat:9.0.30:*:*:*:*:*:*:*</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Upgrade to Apache Tomcat 10.0.6 or later</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bcprov-jdk15on-1.46.jar</w:t>
            </w:r>
          </w:p>
        </w:tc>
        <w:tc>
          <w:tcPr/>
          <w:p w:rsidR="00000000" w:rsidDel="00000000" w:rsidP="00000000" w:rsidRDefault="00000000" w:rsidRPr="00000000" w14:paraId="00000074">
            <w:pPr>
              <w:spacing w:after="0" w:line="240" w:lineRule="auto"/>
              <w:rPr/>
            </w:pPr>
            <w:r w:rsidDel="00000000" w:rsidR="00000000" w:rsidRPr="00000000">
              <w:rPr>
                <w:rtl w:val="0"/>
              </w:rPr>
              <w:t xml:space="preserve">cpe:2.3:a:bouncycastle:bouncy-castle-crypto-package:1.46:*:*:*:*:*:*:*</w:t>
            </w:r>
          </w:p>
          <w:p w:rsidR="00000000" w:rsidDel="00000000" w:rsidP="00000000" w:rsidRDefault="00000000" w:rsidRPr="00000000" w14:paraId="00000075">
            <w:pPr>
              <w:spacing w:after="0" w:line="240" w:lineRule="auto"/>
              <w:rPr/>
            </w:pPr>
            <w:r w:rsidDel="00000000" w:rsidR="00000000" w:rsidRPr="00000000">
              <w:rPr>
                <w:rtl w:val="0"/>
              </w:rPr>
              <w:t xml:space="preserve">cpe:2.3:a:bouncycastle:bouncy_castle_crypto_package:1.46:*:*:*:*:*:*:*</w:t>
            </w:r>
          </w:p>
          <w:p w:rsidR="00000000" w:rsidDel="00000000" w:rsidP="00000000" w:rsidRDefault="00000000" w:rsidRPr="00000000" w14:paraId="00000076">
            <w:pPr>
              <w:spacing w:after="0" w:line="240" w:lineRule="auto"/>
              <w:rPr/>
            </w:pPr>
            <w:r w:rsidDel="00000000" w:rsidR="00000000" w:rsidRPr="00000000">
              <w:rPr>
                <w:rtl w:val="0"/>
              </w:rPr>
              <w:t xml:space="preserve">cpe:2.3:a:bouncycastle:legion-of-the-bouncy-castle-java-crytography-api:1.46:*:*:*:*:*:*:*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cpe:2.3:a:bouncycastle:the_bouncy_castle_crypto_package_for_java:1.46:*:*:*:*:*:*:*</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bouncycastle 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update to 1.60</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jackson-databind-2.10.2.jar</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283.0" w:type="dxa"/>
              <w:jc w:val="left"/>
              <w:tblLayout w:type="fixed"/>
              <w:tblLook w:val="0400"/>
            </w:tblPr>
            <w:tblGrid>
              <w:gridCol w:w="95"/>
              <w:gridCol w:w="6188"/>
              <w:tblGridChange w:id="0">
                <w:tblGrid>
                  <w:gridCol w:w="95"/>
                  <w:gridCol w:w="6188"/>
                </w:tblGrid>
              </w:tblGridChange>
            </w:tblGrid>
            <w:tr>
              <w:trPr>
                <w:cantSplit w:val="0"/>
                <w:tblHeader w:val="0"/>
              </w:trPr>
              <w:tc>
                <w:tcPr>
                  <w:vAlign w:val="center"/>
                </w:tcPr>
                <w:p w:rsidR="00000000" w:rsidDel="00000000" w:rsidP="00000000" w:rsidRDefault="00000000" w:rsidRPr="00000000" w14:paraId="0000007E">
                  <w:pPr>
                    <w:rPr/>
                  </w:pPr>
                  <w:r w:rsidDel="00000000" w:rsidR="00000000" w:rsidRPr="00000000">
                    <w:rPr>
                      <w:rtl w:val="0"/>
                    </w:rPr>
                  </w:r>
                </w:p>
              </w:tc>
              <w:tc>
                <w:tcPr>
                  <w:vAlign w:val="center"/>
                </w:tcPr>
                <w:p w:rsidR="00000000" w:rsidDel="00000000" w:rsidP="00000000" w:rsidRDefault="00000000" w:rsidRPr="00000000" w14:paraId="0000007F">
                  <w:pPr>
                    <w:rPr>
                      <w:sz w:val="24"/>
                      <w:szCs w:val="24"/>
                    </w:rPr>
                  </w:pPr>
                  <w:hyperlink r:id="rId8">
                    <w:r w:rsidDel="00000000" w:rsidR="00000000" w:rsidRPr="00000000">
                      <w:rPr>
                        <w:color w:val="0000ff"/>
                        <w:u w:val="single"/>
                        <w:rtl w:val="0"/>
                      </w:rPr>
                      <w:t xml:space="preserve">cpe:2.3:a:fasterxml:jackson-databind:2.10.2:*:*:*:*:*:*:*</w:t>
                    </w:r>
                  </w:hyperlink>
                  <w:r w:rsidDel="00000000" w:rsidR="00000000" w:rsidRPr="00000000">
                    <w:rPr>
                      <w:rtl w:val="0"/>
                    </w:rPr>
                    <w:br w:type="textWrapping"/>
                    <w:t xml:space="preserve">cpe:2.3:a:fasterxml:jackson-modules-java8:2.10.2:*:*:*:*:*:*:*</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flaw was found in FasterXML Jackson Databind, where it did not have entity expansion secured properly. This flaw allows vulnerability to XML external entity (XXE) attacks. The highest threat from this vulnerability is data integrity.</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to current version</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spring-aop-5.2.3.RELEASE.jar</w:t>
            </w:r>
          </w:p>
        </w:tc>
        <w:tc>
          <w:tcPr/>
          <w:p w:rsidR="00000000" w:rsidDel="00000000" w:rsidP="00000000" w:rsidRDefault="00000000" w:rsidRPr="00000000" w14:paraId="00000084">
            <w:pPr>
              <w:spacing w:after="0" w:line="240" w:lineRule="auto"/>
              <w:rPr/>
            </w:pPr>
            <w:r w:rsidDel="00000000" w:rsidR="00000000" w:rsidRPr="00000000">
              <w:rPr>
                <w:rtl w:val="0"/>
              </w:rPr>
              <w:t xml:space="preserve">cpe:2.3:a:pivotal_software:spring_framework:5.2.3:release:*:*:*:*:*:*</w:t>
            </w:r>
          </w:p>
          <w:p w:rsidR="00000000" w:rsidDel="00000000" w:rsidP="00000000" w:rsidRDefault="00000000" w:rsidRPr="00000000" w14:paraId="00000085">
            <w:pPr>
              <w:spacing w:after="0" w:line="240" w:lineRule="auto"/>
              <w:rPr/>
            </w:pPr>
            <w:r w:rsidDel="00000000" w:rsidR="00000000" w:rsidRPr="00000000">
              <w:rPr>
                <w:rtl w:val="0"/>
              </w:rPr>
              <w:t xml:space="preserve">cpe:2.3:a:springsource:spring_framework:5.2.3:release:*:*:*:*:*:*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cpe:2.3:a:vmware:spring_framework:5.2.3:release:*:*:*:*:*:*</w:t>
              <w:br w:type="textWrapping"/>
              <w:t xml:space="preserve">cpe:2.3:a:vmware:springsource_spring_framework:5.2.3:release:*:*:*:*:*:*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Spring Framework versions 5.2.0 - 5.2.8, 5.1.0 - 5.1.17, 5.0.0 - 5.0.18, 4.3.0 - 4.3.28, and older unsupported versions, the protections against RFD attacks from CVE-2015-5211 may be bypassed depending on the browser used through the use of a jsessionid path parameter.</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 to current version</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hibernate-validator-6.0.18.Final.jar</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cpe:2.3:a:redhat:hibernate_validator:6.0.18:*:*:*:*:*:*:*</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 to hibernate-validator-6.0.20</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snakeyaml-1.25.jar</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cpe:2.3:a:snakeyaml_project:snakeyaml:1.25:*:*:*:*:*:*:*</w:t>
            </w:r>
          </w:p>
        </w:tc>
        <w:tc>
          <w:tcPr/>
          <w:p w:rsidR="00000000" w:rsidDel="00000000" w:rsidP="00000000" w:rsidRDefault="00000000" w:rsidRPr="00000000" w14:paraId="0000008F">
            <w:pPr>
              <w:spacing w:after="0" w:line="240" w:lineRule="auto"/>
              <w:rPr/>
            </w:pPr>
            <w:r w:rsidDel="00000000" w:rsidR="00000000" w:rsidRPr="00000000">
              <w:rPr>
                <w:rtl w:val="0"/>
              </w:rPr>
              <w:t xml:space="preserve">The Alias feature in SnakeYAML 1.18 allows entity expansion during a load operation, a related issue to CVE-2003-1564.</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Published: December 11, 2019; 10:15:10 PM -0500</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 to SnakeYAML Engine. It has a configuration option to restrict aliases for collections (the aliases for scalars cannot grow and they are not restricted)</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pStyle w:val="Heading2"/>
        <w:rPr/>
      </w:pPr>
      <w:bookmarkStart w:colFirst="0" w:colLast="0" w:name="_4d34og8" w:id="8"/>
      <w:bookmarkEnd w:id="8"/>
      <w:r w:rsidDel="00000000" w:rsidR="00000000" w:rsidRPr="00000000">
        <w:rPr>
          <w:rtl w:val="0"/>
        </w:rPr>
        <w:t xml:space="preserve">5. Mitigation Plan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majority of these vulnerabilities can be mitigated by upgrading to current versions. Aside from that Changing the version of Snakeyaml and restricting aliases for collection can secure this vulnerability. </w:t>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