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F0ECA" w14:textId="77777777" w:rsidR="008F12C4" w:rsidRDefault="008F12C4" w:rsidP="008F12C4">
      <w:pPr>
        <w:pStyle w:val="Ttulo2"/>
        <w:rPr>
          <w:lang w:val="es-419"/>
        </w:rPr>
      </w:pPr>
      <w:r>
        <w:rPr>
          <w:lang w:val="es-419"/>
        </w:rPr>
        <w:t>FODA</w:t>
      </w:r>
    </w:p>
    <w:p w14:paraId="62797791" w14:textId="69636E80" w:rsidR="008F12C4" w:rsidRPr="008F12C4" w:rsidRDefault="00BE60CD" w:rsidP="008F12C4">
      <w:pPr>
        <w:spacing w:before="100" w:beforeAutospacing="1" w:after="100" w:afterAutospacing="1" w:line="240" w:lineRule="auto"/>
        <w:rPr>
          <w:rFonts w:eastAsia="Times New Roman" w:cs="Times New Roman"/>
          <w:kern w:val="0"/>
          <w:sz w:val="20"/>
          <w:szCs w:val="20"/>
          <w:lang w:val="es-ES" w:eastAsia="es-CL"/>
          <w14:ligatures w14:val="none"/>
        </w:rPr>
      </w:pPr>
      <w:r w:rsidRPr="00BE60CD">
        <w:rPr>
          <w:rFonts w:eastAsia="Times New Roman" w:cs="Times New Roman"/>
          <w:kern w:val="0"/>
          <w:sz w:val="20"/>
          <w:szCs w:val="20"/>
          <w:lang w:eastAsia="es-CL"/>
          <w14:ligatures w14:val="none"/>
        </w:rPr>
        <w:t>El análisis FODA es una herramienta estratégica utilizada para comprender el entorno interno y externo de una organización durante la implementación de un Sistema de Gestión de Calidad (SGC). Este análisis permite identificar aspectos clave para diseñar estrategias que potencien fortalezas, aprovechen oportunidades, minimicen debilidades y mitiguen amenazas</w:t>
      </w:r>
      <w:r w:rsidR="008F12C4" w:rsidRPr="008F12C4">
        <w:rPr>
          <w:rFonts w:eastAsia="Times New Roman" w:cs="Times New Roman"/>
          <w:kern w:val="0"/>
          <w:sz w:val="20"/>
          <w:szCs w:val="20"/>
          <w:lang w:val="es-ES" w:eastAsia="es-CL"/>
          <w14:ligatures w14:val="none"/>
        </w:rPr>
        <w:t>:</w:t>
      </w:r>
    </w:p>
    <w:p w14:paraId="32AFEDBA" w14:textId="77777777" w:rsidR="008F12C4" w:rsidRDefault="008F12C4" w:rsidP="008F12C4">
      <w:pPr>
        <w:spacing w:before="100" w:beforeAutospacing="1" w:after="100" w:afterAutospacing="1" w:line="240" w:lineRule="auto"/>
        <w:rPr>
          <w:rFonts w:eastAsia="Times New Roman" w:cs="Times New Roman"/>
          <w:kern w:val="0"/>
          <w:sz w:val="20"/>
          <w:szCs w:val="20"/>
          <w:lang w:eastAsia="es-CL"/>
          <w14:ligatures w14:val="none"/>
        </w:rPr>
      </w:pPr>
      <w:r w:rsidRPr="00FF4B65">
        <w:rPr>
          <w:rFonts w:eastAsia="Times New Roman" w:cs="Times New Roman"/>
          <w:kern w:val="0"/>
          <w:sz w:val="20"/>
          <w:szCs w:val="20"/>
          <w:lang w:eastAsia="es-CL"/>
          <w14:ligatures w14:val="none"/>
        </w:rPr>
        <w:t xml:space="preserve">Este análisis es esencial en la </w:t>
      </w:r>
      <w:r w:rsidRPr="00FF4B65">
        <w:rPr>
          <w:rFonts w:eastAsia="Times New Roman" w:cs="Times New Roman"/>
          <w:b/>
          <w:bCs/>
          <w:kern w:val="0"/>
          <w:sz w:val="20"/>
          <w:szCs w:val="20"/>
          <w:lang w:eastAsia="es-CL"/>
          <w14:ligatures w14:val="none"/>
        </w:rPr>
        <w:t>planificación estratégica</w:t>
      </w:r>
      <w:r w:rsidRPr="00FF4B65">
        <w:rPr>
          <w:rFonts w:eastAsia="Times New Roman" w:cs="Times New Roman"/>
          <w:kern w:val="0"/>
          <w:sz w:val="20"/>
          <w:szCs w:val="20"/>
          <w:lang w:eastAsia="es-CL"/>
          <w14:ligatures w14:val="none"/>
        </w:rPr>
        <w:t xml:space="preserve"> y en la </w:t>
      </w:r>
      <w:r w:rsidRPr="00FF4B65">
        <w:rPr>
          <w:rFonts w:eastAsia="Times New Roman" w:cs="Times New Roman"/>
          <w:b/>
          <w:bCs/>
          <w:kern w:val="0"/>
          <w:sz w:val="20"/>
          <w:szCs w:val="20"/>
          <w:lang w:eastAsia="es-CL"/>
          <w14:ligatures w14:val="none"/>
        </w:rPr>
        <w:t>toma de decisiones</w:t>
      </w:r>
      <w:r w:rsidRPr="00FF4B65">
        <w:rPr>
          <w:rFonts w:eastAsia="Times New Roman" w:cs="Times New Roman"/>
          <w:kern w:val="0"/>
          <w:sz w:val="20"/>
          <w:szCs w:val="20"/>
          <w:lang w:eastAsia="es-CL"/>
          <w14:ligatures w14:val="none"/>
        </w:rPr>
        <w:t xml:space="preserve"> a nivel organizacional, ayudando a la empresa o individuo a alinearse con sus objetivos y responder adecuadamente a su entorno.</w:t>
      </w:r>
    </w:p>
    <w:p w14:paraId="223FB484" w14:textId="77777777" w:rsidR="008F12C4" w:rsidRPr="00FF4B65" w:rsidRDefault="008F12C4" w:rsidP="008F12C4">
      <w:pPr>
        <w:spacing w:before="100" w:beforeAutospacing="1" w:after="100" w:afterAutospacing="1" w:line="240" w:lineRule="auto"/>
        <w:rPr>
          <w:rFonts w:eastAsia="Times New Roman" w:cs="Times New Roman"/>
          <w:kern w:val="0"/>
          <w:sz w:val="20"/>
          <w:szCs w:val="20"/>
          <w:lang w:eastAsia="es-CL"/>
          <w14:ligatures w14:val="none"/>
        </w:rPr>
      </w:pPr>
    </w:p>
    <w:tbl>
      <w:tblPr>
        <w:tblStyle w:val="TabeladeGradeClara"/>
        <w:tblpPr w:leftFromText="141" w:rightFromText="141" w:vertAnchor="text" w:tblpY="1"/>
        <w:tblOverlap w:val="never"/>
        <w:tblW w:w="0" w:type="auto"/>
        <w:tblLook w:val="04A0" w:firstRow="1" w:lastRow="0" w:firstColumn="1" w:lastColumn="0" w:noHBand="0" w:noVBand="1"/>
      </w:tblPr>
      <w:tblGrid>
        <w:gridCol w:w="5035"/>
        <w:gridCol w:w="5421"/>
      </w:tblGrid>
      <w:tr w:rsidR="008F12C4" w:rsidRPr="00A96A1D" w14:paraId="12685EC0" w14:textId="77777777" w:rsidTr="004C5FB4">
        <w:tc>
          <w:tcPr>
            <w:tcW w:w="5035" w:type="dxa"/>
            <w:hideMark/>
          </w:tcPr>
          <w:p w14:paraId="00FCEB6C" w14:textId="77777777" w:rsidR="008F12C4" w:rsidRPr="00A96A1D" w:rsidRDefault="008F12C4" w:rsidP="004C5FB4">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Fortalezas</w:t>
            </w:r>
          </w:p>
        </w:tc>
        <w:tc>
          <w:tcPr>
            <w:tcW w:w="5421" w:type="dxa"/>
            <w:hideMark/>
          </w:tcPr>
          <w:p w14:paraId="01E03BF2" w14:textId="77777777" w:rsidR="008F12C4" w:rsidRPr="00A96A1D" w:rsidRDefault="008F12C4" w:rsidP="004C5FB4">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Oportunidades</w:t>
            </w:r>
          </w:p>
        </w:tc>
      </w:tr>
      <w:tr w:rsidR="008F12C4" w:rsidRPr="00A96A1D" w14:paraId="21FF6CC1" w14:textId="77777777" w:rsidTr="004C5FB4">
        <w:tc>
          <w:tcPr>
            <w:tcW w:w="5035" w:type="dxa"/>
          </w:tcPr>
          <w:p w14:paraId="4907B4B1" w14:textId="4C020C36"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Compromiso Gerencial:</w:t>
            </w:r>
            <w:r w:rsidRPr="00BE60CD">
              <w:rPr>
                <w:rFonts w:eastAsia="Times New Roman" w:cs="Times New Roman"/>
                <w:kern w:val="0"/>
                <w:lang w:eastAsia="es-CL"/>
                <w14:ligatures w14:val="none"/>
              </w:rPr>
              <w:t xml:space="preserve"> Alta dirección alineada con los principios de calidad.</w:t>
            </w:r>
          </w:p>
        </w:tc>
        <w:tc>
          <w:tcPr>
            <w:tcW w:w="5421" w:type="dxa"/>
          </w:tcPr>
          <w:p w14:paraId="47ABB9B0" w14:textId="247FDF47"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Innovación Tecnológica:</w:t>
            </w:r>
            <w:r w:rsidRPr="00BE60CD">
              <w:rPr>
                <w:rFonts w:eastAsia="Times New Roman" w:cs="Times New Roman"/>
                <w:kern w:val="0"/>
                <w:lang w:eastAsia="es-CL"/>
                <w14:ligatures w14:val="none"/>
              </w:rPr>
              <w:t xml:space="preserve"> Disponibilidad de herramientas digitales para automatizar procesos.</w:t>
            </w:r>
          </w:p>
        </w:tc>
      </w:tr>
      <w:tr w:rsidR="008F12C4" w:rsidRPr="00A96A1D" w14:paraId="57AE6803" w14:textId="77777777" w:rsidTr="004C5FB4">
        <w:tc>
          <w:tcPr>
            <w:tcW w:w="5035" w:type="dxa"/>
          </w:tcPr>
          <w:p w14:paraId="5EFBFD74" w14:textId="4F535FAA"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Estructura Documental:</w:t>
            </w:r>
            <w:r w:rsidRPr="00BE60CD">
              <w:rPr>
                <w:rFonts w:eastAsia="Times New Roman" w:cs="Times New Roman"/>
                <w:kern w:val="0"/>
                <w:lang w:eastAsia="es-CL"/>
                <w14:ligatures w14:val="none"/>
              </w:rPr>
              <w:t xml:space="preserve"> Procedimientos y políticas claros para gestionar actividades.</w:t>
            </w:r>
          </w:p>
        </w:tc>
        <w:tc>
          <w:tcPr>
            <w:tcW w:w="5421" w:type="dxa"/>
          </w:tcPr>
          <w:p w14:paraId="04374713" w14:textId="22EA009C"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Demanda del Mercado:</w:t>
            </w:r>
            <w:r w:rsidRPr="00BE60CD">
              <w:rPr>
                <w:rFonts w:eastAsia="Times New Roman" w:cs="Times New Roman"/>
                <w:kern w:val="0"/>
                <w:lang w:eastAsia="es-CL"/>
                <w14:ligatures w14:val="none"/>
              </w:rPr>
              <w:t xml:space="preserve"> Creciente interés de clientes en organizaciones certificadas con ISO 9001:2015.</w:t>
            </w:r>
          </w:p>
        </w:tc>
      </w:tr>
      <w:tr w:rsidR="008F12C4" w:rsidRPr="00A96A1D" w14:paraId="2DF94583" w14:textId="77777777" w:rsidTr="004C5FB4">
        <w:tc>
          <w:tcPr>
            <w:tcW w:w="5035" w:type="dxa"/>
          </w:tcPr>
          <w:p w14:paraId="58D91933" w14:textId="4BE96A72"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Personal Capacitado:</w:t>
            </w:r>
            <w:r w:rsidRPr="00BE60CD">
              <w:rPr>
                <w:rFonts w:eastAsia="Times New Roman" w:cs="Times New Roman"/>
                <w:kern w:val="0"/>
                <w:lang w:eastAsia="es-CL"/>
                <w14:ligatures w14:val="none"/>
              </w:rPr>
              <w:t xml:space="preserve"> Equipo humano con experiencia en gestión de calidad.</w:t>
            </w:r>
          </w:p>
        </w:tc>
        <w:tc>
          <w:tcPr>
            <w:tcW w:w="5421" w:type="dxa"/>
          </w:tcPr>
          <w:p w14:paraId="1BA898C4" w14:textId="10542624" w:rsidR="008F12C4"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Regulaciones Favorables:</w:t>
            </w:r>
            <w:r w:rsidRPr="00BE60CD">
              <w:rPr>
                <w:rFonts w:eastAsia="Times New Roman" w:cs="Times New Roman"/>
                <w:kern w:val="0"/>
                <w:lang w:eastAsia="es-CL"/>
                <w14:ligatures w14:val="none"/>
              </w:rPr>
              <w:t xml:space="preserve"> Incentivos gubernamentales para la certificación de calidad.</w:t>
            </w:r>
          </w:p>
        </w:tc>
      </w:tr>
      <w:tr w:rsidR="00290D36" w:rsidRPr="00A96A1D" w14:paraId="0977FF92" w14:textId="77777777" w:rsidTr="004C5FB4">
        <w:tc>
          <w:tcPr>
            <w:tcW w:w="5035" w:type="dxa"/>
          </w:tcPr>
          <w:p w14:paraId="41CB4BC8" w14:textId="67CCB9EC" w:rsidR="00290D36"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Flexibilidad Operativa:</w:t>
            </w:r>
            <w:r w:rsidRPr="00BE60CD">
              <w:rPr>
                <w:rFonts w:eastAsia="Times New Roman" w:cs="Times New Roman"/>
                <w:kern w:val="0"/>
                <w:lang w:eastAsia="es-CL"/>
                <w14:ligatures w14:val="none"/>
              </w:rPr>
              <w:t xml:space="preserve"> Capacidad de adaptación a cambios organizacionales.</w:t>
            </w:r>
          </w:p>
        </w:tc>
        <w:tc>
          <w:tcPr>
            <w:tcW w:w="5421" w:type="dxa"/>
          </w:tcPr>
          <w:p w14:paraId="2F2715B1" w14:textId="48B1AEF9" w:rsidR="00290D36" w:rsidRPr="00405921" w:rsidRDefault="00BE60CD" w:rsidP="004C5FB4">
            <w:pPr>
              <w:rPr>
                <w:rFonts w:eastAsia="Times New Roman" w:cs="Times New Roman"/>
                <w:kern w:val="0"/>
                <w:lang w:eastAsia="es-CL"/>
                <w14:ligatures w14:val="none"/>
              </w:rPr>
            </w:pPr>
            <w:r w:rsidRPr="00BE60CD">
              <w:rPr>
                <w:rFonts w:eastAsia="Times New Roman" w:cs="Times New Roman"/>
                <w:b/>
                <w:bCs/>
                <w:kern w:val="0"/>
                <w:lang w:eastAsia="es-CL"/>
                <w14:ligatures w14:val="none"/>
              </w:rPr>
              <w:t>Capacitación Externa:</w:t>
            </w:r>
            <w:r w:rsidRPr="00BE60CD">
              <w:rPr>
                <w:rFonts w:eastAsia="Times New Roman" w:cs="Times New Roman"/>
                <w:kern w:val="0"/>
                <w:lang w:eastAsia="es-CL"/>
                <w14:ligatures w14:val="none"/>
              </w:rPr>
              <w:t xml:space="preserve"> Acceso a programas de formación en calidad.</w:t>
            </w:r>
          </w:p>
        </w:tc>
      </w:tr>
    </w:tbl>
    <w:p w14:paraId="1B509A69" w14:textId="34AB0ECD" w:rsidR="008F12C4" w:rsidRPr="00A96A1D" w:rsidRDefault="004C5FB4" w:rsidP="008F12C4">
      <w:pPr>
        <w:spacing w:after="0" w:line="240" w:lineRule="auto"/>
        <w:rPr>
          <w:rFonts w:eastAsia="Times New Roman" w:cs="Times New Roman"/>
          <w:vanish/>
          <w:kern w:val="0"/>
          <w:lang w:eastAsia="es-CL"/>
          <w14:ligatures w14:val="none"/>
        </w:rPr>
      </w:pPr>
      <w:r>
        <w:rPr>
          <w:rFonts w:eastAsia="Times New Roman" w:cs="Times New Roman"/>
          <w:vanish/>
          <w:kern w:val="0"/>
          <w:lang w:eastAsia="es-CL"/>
          <w14:ligatures w14:val="none"/>
        </w:rPr>
        <w:br w:type="textWrapping" w:clear="all"/>
      </w:r>
    </w:p>
    <w:tbl>
      <w:tblPr>
        <w:tblStyle w:val="TabeladeGradeClara"/>
        <w:tblW w:w="0" w:type="auto"/>
        <w:tblLook w:val="04A0" w:firstRow="1" w:lastRow="0" w:firstColumn="1" w:lastColumn="0" w:noHBand="0" w:noVBand="1"/>
      </w:tblPr>
      <w:tblGrid>
        <w:gridCol w:w="5125"/>
        <w:gridCol w:w="5331"/>
      </w:tblGrid>
      <w:tr w:rsidR="008F12C4" w:rsidRPr="00A96A1D" w14:paraId="5EA65222" w14:textId="77777777" w:rsidTr="006B5C25">
        <w:tc>
          <w:tcPr>
            <w:tcW w:w="5125" w:type="dxa"/>
            <w:hideMark/>
          </w:tcPr>
          <w:p w14:paraId="7E407CBE" w14:textId="77777777" w:rsidR="008F12C4" w:rsidRPr="00A96A1D" w:rsidRDefault="008F12C4" w:rsidP="006B5C25">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Debilidades</w:t>
            </w:r>
          </w:p>
        </w:tc>
        <w:tc>
          <w:tcPr>
            <w:tcW w:w="5331" w:type="dxa"/>
            <w:hideMark/>
          </w:tcPr>
          <w:p w14:paraId="0AFE739F" w14:textId="77777777" w:rsidR="008F12C4" w:rsidRPr="00A96A1D" w:rsidRDefault="008F12C4" w:rsidP="006B5C25">
            <w:pPr>
              <w:jc w:val="center"/>
              <w:rPr>
                <w:rFonts w:eastAsia="Times New Roman" w:cs="Times New Roman"/>
                <w:b/>
                <w:bCs/>
                <w:kern w:val="0"/>
                <w:lang w:eastAsia="es-CL"/>
                <w14:ligatures w14:val="none"/>
              </w:rPr>
            </w:pPr>
            <w:r w:rsidRPr="00A96A1D">
              <w:rPr>
                <w:rFonts w:eastAsia="Times New Roman" w:cs="Times New Roman"/>
                <w:b/>
                <w:bCs/>
                <w:kern w:val="0"/>
                <w:lang w:eastAsia="es-CL"/>
                <w14:ligatures w14:val="none"/>
              </w:rPr>
              <w:t>Amenazas</w:t>
            </w:r>
          </w:p>
        </w:tc>
      </w:tr>
      <w:tr w:rsidR="008F12C4" w:rsidRPr="00A96A1D" w14:paraId="2053B556" w14:textId="77777777" w:rsidTr="008F12C4">
        <w:tc>
          <w:tcPr>
            <w:tcW w:w="5125" w:type="dxa"/>
          </w:tcPr>
          <w:p w14:paraId="2DA9C51C" w14:textId="5CC4098E" w:rsidR="008F12C4" w:rsidRPr="00405921" w:rsidRDefault="00BE60CD" w:rsidP="006B5C25">
            <w:pPr>
              <w:rPr>
                <w:rFonts w:eastAsia="Times New Roman" w:cs="Times New Roman"/>
                <w:kern w:val="0"/>
                <w:lang w:eastAsia="es-CL"/>
                <w14:ligatures w14:val="none"/>
              </w:rPr>
            </w:pPr>
            <w:r w:rsidRPr="00BE60CD">
              <w:rPr>
                <w:rFonts w:eastAsia="Times New Roman" w:cs="Times New Roman"/>
                <w:b/>
                <w:bCs/>
                <w:kern w:val="0"/>
                <w:lang w:eastAsia="es-CL"/>
                <w14:ligatures w14:val="none"/>
              </w:rPr>
              <w:t>Resistencia al Cambio:</w:t>
            </w:r>
            <w:r w:rsidRPr="00BE60CD">
              <w:rPr>
                <w:rFonts w:eastAsia="Times New Roman" w:cs="Times New Roman"/>
                <w:kern w:val="0"/>
                <w:lang w:eastAsia="es-CL"/>
                <w14:ligatures w14:val="none"/>
              </w:rPr>
              <w:t xml:space="preserve"> Personal reticente a nuevas metodologías.</w:t>
            </w:r>
          </w:p>
        </w:tc>
        <w:tc>
          <w:tcPr>
            <w:tcW w:w="5331" w:type="dxa"/>
          </w:tcPr>
          <w:p w14:paraId="64FB8615" w14:textId="4D9739E4" w:rsidR="008F12C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Competencia Intensa:</w:t>
            </w:r>
            <w:r w:rsidRPr="000259CC">
              <w:rPr>
                <w:rFonts w:eastAsia="Times New Roman" w:cs="Times New Roman"/>
                <w:kern w:val="0"/>
                <w:lang w:eastAsia="es-CL"/>
                <w14:ligatures w14:val="none"/>
              </w:rPr>
              <w:t xml:space="preserve"> Otras organizaciones ya certificadas.</w:t>
            </w:r>
          </w:p>
        </w:tc>
      </w:tr>
      <w:tr w:rsidR="008F12C4" w:rsidRPr="00A96A1D" w14:paraId="4B8A443C" w14:textId="77777777" w:rsidTr="008F12C4">
        <w:tc>
          <w:tcPr>
            <w:tcW w:w="5125" w:type="dxa"/>
          </w:tcPr>
          <w:p w14:paraId="466078B0" w14:textId="3ACE3737" w:rsidR="008F12C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Capacidad Limitada: Recursos financieros restringidos para inversiones iniciales.</w:t>
            </w:r>
          </w:p>
        </w:tc>
        <w:tc>
          <w:tcPr>
            <w:tcW w:w="5331" w:type="dxa"/>
          </w:tcPr>
          <w:p w14:paraId="7E02C69C" w14:textId="08603422" w:rsidR="008F12C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Cambios Regulatorios:</w:t>
            </w:r>
            <w:r w:rsidRPr="000259CC">
              <w:rPr>
                <w:rFonts w:eastAsia="Times New Roman" w:cs="Times New Roman"/>
                <w:kern w:val="0"/>
                <w:lang w:eastAsia="es-CL"/>
                <w14:ligatures w14:val="none"/>
              </w:rPr>
              <w:t xml:space="preserve"> Normativas estrictas que incrementen costos operativos.</w:t>
            </w:r>
          </w:p>
        </w:tc>
      </w:tr>
      <w:tr w:rsidR="004C5FB4" w:rsidRPr="00A96A1D" w14:paraId="7A11B312" w14:textId="77777777" w:rsidTr="008F12C4">
        <w:tc>
          <w:tcPr>
            <w:tcW w:w="5125" w:type="dxa"/>
            <w:vMerge w:val="restart"/>
          </w:tcPr>
          <w:p w14:paraId="12688B7D" w14:textId="19965847" w:rsidR="004C5FB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Comunicación Interna:</w:t>
            </w:r>
            <w:r w:rsidRPr="000259CC">
              <w:rPr>
                <w:rFonts w:eastAsia="Times New Roman" w:cs="Times New Roman"/>
                <w:kern w:val="0"/>
                <w:lang w:eastAsia="es-CL"/>
                <w14:ligatures w14:val="none"/>
              </w:rPr>
              <w:t xml:space="preserve"> Deficiencias en el flujo de información entre áreas.</w:t>
            </w:r>
          </w:p>
        </w:tc>
        <w:tc>
          <w:tcPr>
            <w:tcW w:w="5331" w:type="dxa"/>
          </w:tcPr>
          <w:p w14:paraId="4FBBFE25" w14:textId="31B031DD" w:rsidR="004C5FB4" w:rsidRPr="00405921" w:rsidRDefault="000259CC" w:rsidP="006B5C25">
            <w:pPr>
              <w:rPr>
                <w:rFonts w:eastAsia="Times New Roman" w:cs="Times New Roman"/>
                <w:kern w:val="0"/>
                <w:lang w:eastAsia="es-CL"/>
                <w14:ligatures w14:val="none"/>
              </w:rPr>
            </w:pPr>
            <w:r w:rsidRPr="000259CC">
              <w:rPr>
                <w:rFonts w:eastAsia="Times New Roman" w:cs="Times New Roman"/>
                <w:b/>
                <w:bCs/>
                <w:kern w:val="0"/>
                <w:lang w:eastAsia="es-CL"/>
                <w14:ligatures w14:val="none"/>
              </w:rPr>
              <w:t>Factores Económicos:</w:t>
            </w:r>
            <w:r w:rsidRPr="000259CC">
              <w:rPr>
                <w:rFonts w:eastAsia="Times New Roman" w:cs="Times New Roman"/>
                <w:kern w:val="0"/>
                <w:lang w:eastAsia="es-CL"/>
                <w14:ligatures w14:val="none"/>
              </w:rPr>
              <w:t xml:space="preserve"> Aumento en los costos de implementación por inflación.</w:t>
            </w:r>
          </w:p>
        </w:tc>
      </w:tr>
      <w:tr w:rsidR="004C5FB4" w:rsidRPr="00A96A1D" w14:paraId="0B6EAD91" w14:textId="77777777" w:rsidTr="008F12C4">
        <w:tc>
          <w:tcPr>
            <w:tcW w:w="5125" w:type="dxa"/>
            <w:vMerge/>
          </w:tcPr>
          <w:p w14:paraId="59856C0F" w14:textId="77777777" w:rsidR="004C5FB4" w:rsidRPr="00405921" w:rsidRDefault="004C5FB4" w:rsidP="006B5C25">
            <w:pPr>
              <w:rPr>
                <w:rFonts w:eastAsia="Times New Roman" w:cs="Times New Roman"/>
                <w:kern w:val="0"/>
                <w:lang w:eastAsia="es-CL"/>
                <w14:ligatures w14:val="none"/>
              </w:rPr>
            </w:pPr>
          </w:p>
        </w:tc>
        <w:tc>
          <w:tcPr>
            <w:tcW w:w="5331" w:type="dxa"/>
          </w:tcPr>
          <w:p w14:paraId="6E8F52F7" w14:textId="2490C87A" w:rsidR="004C5FB4" w:rsidRPr="00405921" w:rsidRDefault="000259CC" w:rsidP="006B5C25">
            <w:pPr>
              <w:rPr>
                <w:rFonts w:eastAsia="Times New Roman" w:cs="Times New Roman"/>
                <w:kern w:val="0"/>
                <w:lang w:val="es-ES" w:eastAsia="es-CL"/>
                <w14:ligatures w14:val="none"/>
              </w:rPr>
            </w:pPr>
            <w:r w:rsidRPr="000259CC">
              <w:rPr>
                <w:rFonts w:eastAsia="Times New Roman" w:cs="Times New Roman"/>
                <w:b/>
                <w:bCs/>
                <w:kern w:val="0"/>
                <w:lang w:eastAsia="es-CL"/>
                <w14:ligatures w14:val="none"/>
              </w:rPr>
              <w:t>Expectativas de Clientes:</w:t>
            </w:r>
            <w:r w:rsidRPr="000259CC">
              <w:rPr>
                <w:rFonts w:eastAsia="Times New Roman" w:cs="Times New Roman"/>
                <w:kern w:val="0"/>
                <w:lang w:eastAsia="es-CL"/>
                <w14:ligatures w14:val="none"/>
              </w:rPr>
              <w:t xml:space="preserve"> Insatisfacción ante retrasos o no conformidades.</w:t>
            </w:r>
          </w:p>
        </w:tc>
      </w:tr>
    </w:tbl>
    <w:p w14:paraId="0C693835" w14:textId="77777777" w:rsidR="008F12C4" w:rsidRPr="00FF4B65" w:rsidRDefault="008F12C4" w:rsidP="008F12C4"/>
    <w:p w14:paraId="3B9DF7DC" w14:textId="77777777" w:rsidR="008F12C4" w:rsidRDefault="008F12C4" w:rsidP="008F12C4">
      <w:pPr>
        <w:pStyle w:val="Ttulo2"/>
        <w:rPr>
          <w:lang w:val="es-419"/>
        </w:rPr>
      </w:pPr>
      <w:r>
        <w:rPr>
          <w:lang w:val="es-419"/>
        </w:rPr>
        <w:t>PESTEL</w:t>
      </w:r>
    </w:p>
    <w:p w14:paraId="363A8C03" w14:textId="7E5E7798" w:rsidR="008F12C4" w:rsidRPr="005C081F" w:rsidRDefault="000259CC" w:rsidP="008F12C4">
      <w:pPr>
        <w:pStyle w:val="NormalWeb"/>
        <w:rPr>
          <w:rFonts w:asciiTheme="minorHAnsi" w:hAnsiTheme="minorHAnsi"/>
          <w:sz w:val="18"/>
          <w:szCs w:val="18"/>
        </w:rPr>
      </w:pPr>
      <w:r w:rsidRPr="000259CC">
        <w:rPr>
          <w:rFonts w:asciiTheme="minorHAnsi" w:hAnsiTheme="minorHAnsi"/>
          <w:sz w:val="18"/>
          <w:szCs w:val="18"/>
        </w:rPr>
        <w:t>El análisis PESTEL permite evaluar factores externos clave que impactan en la implementación del SGC, proporcionando una visión completa del entorno estratégico</w:t>
      </w:r>
      <w:r w:rsidR="008F12C4" w:rsidRPr="005C081F">
        <w:rPr>
          <w:rFonts w:asciiTheme="minorHAnsi" w:hAnsiTheme="minorHAnsi"/>
          <w:sz w:val="18"/>
          <w:szCs w:val="18"/>
        </w:rPr>
        <w:t>:</w:t>
      </w:r>
    </w:p>
    <w:p w14:paraId="7F1A27CD"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Políticos (P)</w:t>
      </w:r>
      <w:r w:rsidRPr="005C081F">
        <w:rPr>
          <w:rFonts w:asciiTheme="minorHAnsi" w:hAnsiTheme="minorHAnsi"/>
          <w:sz w:val="18"/>
          <w:szCs w:val="18"/>
        </w:rPr>
        <w:t>: Factores relacionados con el entorno político y el grado de intervención del gobierno en la economía o en un sector. Incluye aspectos como políticas fiscales, regulaciones gubernamentales, estabilidad política, políticas de comercio exterior y legislación laboral. Por ejemplo, un cambio en la regulación laboral podría afectar los costos de contratación de la empresa.</w:t>
      </w:r>
    </w:p>
    <w:p w14:paraId="2975E613"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Económicos (E)</w:t>
      </w:r>
      <w:r w:rsidRPr="005C081F">
        <w:rPr>
          <w:rFonts w:asciiTheme="minorHAnsi" w:hAnsiTheme="minorHAnsi"/>
          <w:sz w:val="18"/>
          <w:szCs w:val="18"/>
        </w:rPr>
        <w:t>: Factores económicos que pueden influir en el rendimiento de una organización. Esto incluye tasas de interés, tasas de inflación, tipos de cambio, crecimiento económico, condiciones de crédito y ciclo económico. Por ejemplo, en un entorno de alta inflación, los costos operativos de una empresa podrían aumentar.</w:t>
      </w:r>
    </w:p>
    <w:p w14:paraId="2B083175"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Sociales (S)</w:t>
      </w:r>
      <w:r w:rsidRPr="005C081F">
        <w:rPr>
          <w:rFonts w:asciiTheme="minorHAnsi" w:hAnsiTheme="minorHAnsi"/>
          <w:sz w:val="18"/>
          <w:szCs w:val="18"/>
        </w:rPr>
        <w:t xml:space="preserve">: Factores socioculturales que reflejan las características y comportamientos de la población. Incluye aspectos como la demografía, el nivel educativo, los estilos de vida, las expectativas culturales, la actitud de la sociedad hacia el </w:t>
      </w:r>
      <w:r w:rsidRPr="005C081F">
        <w:rPr>
          <w:rFonts w:asciiTheme="minorHAnsi" w:hAnsiTheme="minorHAnsi"/>
          <w:sz w:val="18"/>
          <w:szCs w:val="18"/>
        </w:rPr>
        <w:lastRenderedPageBreak/>
        <w:t>trabajo y la responsabilidad social. Por ejemplo, un cambio en la preferencia de los consumidores hacia productos sostenibles podría afectar la demanda de ciertos productos.</w:t>
      </w:r>
    </w:p>
    <w:p w14:paraId="745E2513"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Tecnológicos (T)</w:t>
      </w:r>
      <w:r w:rsidRPr="005C081F">
        <w:rPr>
          <w:rFonts w:asciiTheme="minorHAnsi" w:hAnsiTheme="minorHAnsi"/>
          <w:sz w:val="18"/>
          <w:szCs w:val="18"/>
        </w:rPr>
        <w:t>: Factores relacionados con la tecnología y su evolución. Esto abarca la innovación tecnológica, la automatización, la investigación y desarrollo (I+D) y las nuevas tecnologías que pueden mejorar o reemplazar procesos actuales. Por ejemplo, la digitalización de servicios podría impulsar a una empresa a modernizar su infraestructura tecnológica para mantenerse competitiva.</w:t>
      </w:r>
    </w:p>
    <w:p w14:paraId="5AC1465B"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Ecológicos (E)</w:t>
      </w:r>
      <w:r w:rsidRPr="005C081F">
        <w:rPr>
          <w:rFonts w:asciiTheme="minorHAnsi" w:hAnsiTheme="minorHAnsi"/>
          <w:sz w:val="18"/>
          <w:szCs w:val="18"/>
        </w:rPr>
        <w:t>: Factores medioambientales que afectan o son afectados por las actividades de una organización. Incluye cuestiones como cambio climático, políticas de sostenibilidad, regulaciones ambientales, disponibilidad de recursos naturales y huella de carbono. Por ejemplo, una empresa que depende de recursos naturales podría enfrentar desafíos en un entorno de escasez de esos recursos.</w:t>
      </w:r>
    </w:p>
    <w:p w14:paraId="43B50606" w14:textId="77777777" w:rsidR="008F12C4" w:rsidRPr="005C081F" w:rsidRDefault="008F12C4" w:rsidP="008F12C4">
      <w:pPr>
        <w:pStyle w:val="NormalWeb"/>
        <w:numPr>
          <w:ilvl w:val="0"/>
          <w:numId w:val="3"/>
        </w:numPr>
        <w:rPr>
          <w:rFonts w:asciiTheme="minorHAnsi" w:hAnsiTheme="minorHAnsi"/>
          <w:sz w:val="18"/>
          <w:szCs w:val="18"/>
        </w:rPr>
      </w:pPr>
      <w:r w:rsidRPr="005C081F">
        <w:rPr>
          <w:rStyle w:val="Forte"/>
          <w:rFonts w:asciiTheme="minorHAnsi" w:eastAsiaTheme="majorEastAsia" w:hAnsiTheme="minorHAnsi"/>
          <w:sz w:val="18"/>
          <w:szCs w:val="18"/>
        </w:rPr>
        <w:t>Legales (L)</w:t>
      </w:r>
      <w:r w:rsidRPr="005C081F">
        <w:rPr>
          <w:rFonts w:asciiTheme="minorHAnsi" w:hAnsiTheme="minorHAnsi"/>
          <w:sz w:val="18"/>
          <w:szCs w:val="18"/>
        </w:rPr>
        <w:t>: Factores legales relacionados con la legislación vigente que puede afectar la actividad de una organización. Incluye leyes de protección al consumidor, regulaciones de seguridad laboral, leyes de privacidad y propiedad intelectual, y políticas de competencia. Por ejemplo, una nueva normativa de protección de datos podría requerir que una empresa adapte sus sistemas de almacenamiento de información.</w:t>
      </w:r>
    </w:p>
    <w:p w14:paraId="12B4DC6A" w14:textId="77777777" w:rsidR="008F12C4" w:rsidRPr="005C081F" w:rsidRDefault="008F12C4" w:rsidP="008F12C4">
      <w:pPr>
        <w:pStyle w:val="Ttulo3"/>
        <w:rPr>
          <w:sz w:val="18"/>
          <w:szCs w:val="18"/>
        </w:rPr>
      </w:pPr>
      <w:r w:rsidRPr="005C081F">
        <w:rPr>
          <w:sz w:val="18"/>
          <w:szCs w:val="18"/>
        </w:rPr>
        <w:t>¿Para qué se utiliza el análisis PESTEL?</w:t>
      </w:r>
    </w:p>
    <w:p w14:paraId="3F7885E1" w14:textId="77777777" w:rsidR="008F12C4" w:rsidRPr="005C081F" w:rsidRDefault="008F12C4" w:rsidP="008F12C4">
      <w:pPr>
        <w:pStyle w:val="NormalWeb"/>
        <w:rPr>
          <w:rFonts w:asciiTheme="minorHAnsi" w:hAnsiTheme="minorHAnsi"/>
          <w:sz w:val="18"/>
          <w:szCs w:val="18"/>
        </w:rPr>
      </w:pPr>
      <w:r w:rsidRPr="005C081F">
        <w:rPr>
          <w:rFonts w:asciiTheme="minorHAnsi" w:hAnsiTheme="minorHAnsi"/>
          <w:sz w:val="18"/>
          <w:szCs w:val="18"/>
        </w:rPr>
        <w:t>El análisis PESTEL permite a las organizaciones:</w:t>
      </w:r>
    </w:p>
    <w:p w14:paraId="0DB4EB7F"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Comprender el entorno</w:t>
      </w:r>
      <w:r w:rsidRPr="005C081F">
        <w:rPr>
          <w:sz w:val="18"/>
          <w:szCs w:val="18"/>
        </w:rPr>
        <w:t xml:space="preserve"> en el que operan.</w:t>
      </w:r>
    </w:p>
    <w:p w14:paraId="70BB2A0C"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Anticiparse a los cambios externos</w:t>
      </w:r>
      <w:r w:rsidRPr="005C081F">
        <w:rPr>
          <w:sz w:val="18"/>
          <w:szCs w:val="18"/>
        </w:rPr>
        <w:t xml:space="preserve"> que podrían impactar sus estrategias.</w:t>
      </w:r>
    </w:p>
    <w:p w14:paraId="5748F011"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Identificar oportunidades y amenazas</w:t>
      </w:r>
      <w:r w:rsidRPr="005C081F">
        <w:rPr>
          <w:sz w:val="18"/>
          <w:szCs w:val="18"/>
        </w:rPr>
        <w:t xml:space="preserve"> en el contexto externo.</w:t>
      </w:r>
    </w:p>
    <w:p w14:paraId="242E909F" w14:textId="77777777" w:rsidR="008F12C4" w:rsidRPr="005C081F" w:rsidRDefault="008F12C4" w:rsidP="008F12C4">
      <w:pPr>
        <w:numPr>
          <w:ilvl w:val="0"/>
          <w:numId w:val="4"/>
        </w:numPr>
        <w:spacing w:before="100" w:beforeAutospacing="1" w:after="100" w:afterAutospacing="1" w:line="240" w:lineRule="auto"/>
        <w:rPr>
          <w:sz w:val="18"/>
          <w:szCs w:val="18"/>
        </w:rPr>
      </w:pPr>
      <w:r w:rsidRPr="005C081F">
        <w:rPr>
          <w:rStyle w:val="Forte"/>
          <w:sz w:val="18"/>
          <w:szCs w:val="18"/>
        </w:rPr>
        <w:t>Desarrollar planes de acción</w:t>
      </w:r>
      <w:r w:rsidRPr="005C081F">
        <w:rPr>
          <w:sz w:val="18"/>
          <w:szCs w:val="18"/>
        </w:rPr>
        <w:t xml:space="preserve"> para mitigar los riesgos o aprovechar las oportunidades derivadas de estos factores.</w:t>
      </w:r>
    </w:p>
    <w:p w14:paraId="296EF270" w14:textId="77777777" w:rsidR="008F12C4" w:rsidRPr="005C081F" w:rsidRDefault="008F12C4" w:rsidP="008F12C4">
      <w:pPr>
        <w:pStyle w:val="NormalWeb"/>
        <w:rPr>
          <w:rFonts w:asciiTheme="minorHAnsi" w:hAnsiTheme="minorHAnsi"/>
          <w:sz w:val="18"/>
          <w:szCs w:val="18"/>
        </w:rPr>
      </w:pPr>
      <w:r w:rsidRPr="005C081F">
        <w:rPr>
          <w:rFonts w:asciiTheme="minorHAnsi" w:hAnsiTheme="minorHAnsi"/>
          <w:sz w:val="18"/>
          <w:szCs w:val="18"/>
        </w:rPr>
        <w:t>En conjunto con el análisis FODA, el PESTEL permite construir una estrategia completa que considere tanto los factores internos como los externos, asegurando una mejor adaptación al entorno y una ventaja competitiva más sostenible</w:t>
      </w:r>
    </w:p>
    <w:tbl>
      <w:tblPr>
        <w:tblStyle w:val="SimplesTabela1"/>
        <w:tblW w:w="0" w:type="auto"/>
        <w:tblLook w:val="04A0" w:firstRow="1" w:lastRow="0" w:firstColumn="1" w:lastColumn="0" w:noHBand="0" w:noVBand="1"/>
      </w:tblPr>
      <w:tblGrid>
        <w:gridCol w:w="4320"/>
        <w:gridCol w:w="6115"/>
      </w:tblGrid>
      <w:tr w:rsidR="008F12C4" w14:paraId="2DFBD166" w14:textId="77777777" w:rsidTr="006B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5781E4" w14:textId="77777777" w:rsidR="008F12C4" w:rsidRPr="00387C1D" w:rsidRDefault="008F12C4" w:rsidP="006B5C25">
            <w:pPr>
              <w:rPr>
                <w:sz w:val="22"/>
                <w:szCs w:val="22"/>
              </w:rPr>
            </w:pPr>
            <w:r w:rsidRPr="00387C1D">
              <w:rPr>
                <w:sz w:val="22"/>
                <w:szCs w:val="22"/>
              </w:rPr>
              <w:t>Factor</w:t>
            </w:r>
          </w:p>
        </w:tc>
        <w:tc>
          <w:tcPr>
            <w:tcW w:w="6115" w:type="dxa"/>
          </w:tcPr>
          <w:p w14:paraId="581EBB14" w14:textId="77777777" w:rsidR="008F12C4" w:rsidRPr="00387C1D" w:rsidRDefault="008F12C4" w:rsidP="006B5C25">
            <w:pPr>
              <w:jc w:val="center"/>
              <w:cnfStyle w:val="100000000000" w:firstRow="1" w:lastRow="0" w:firstColumn="0" w:lastColumn="0" w:oddVBand="0" w:evenVBand="0" w:oddHBand="0" w:evenHBand="0" w:firstRowFirstColumn="0" w:firstRowLastColumn="0" w:lastRowFirstColumn="0" w:lastRowLastColumn="0"/>
              <w:rPr>
                <w:sz w:val="22"/>
                <w:szCs w:val="22"/>
              </w:rPr>
            </w:pPr>
            <w:r w:rsidRPr="00387C1D">
              <w:rPr>
                <w:sz w:val="22"/>
                <w:szCs w:val="22"/>
              </w:rPr>
              <w:t>Descripción</w:t>
            </w:r>
          </w:p>
        </w:tc>
      </w:tr>
      <w:tr w:rsidR="008F12C4" w14:paraId="3BA51545" w14:textId="77777777" w:rsidTr="006B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9CF572" w14:textId="77777777" w:rsidR="008F12C4" w:rsidRPr="00387C1D" w:rsidRDefault="008F12C4" w:rsidP="006B5C25">
            <w:pPr>
              <w:rPr>
                <w:sz w:val="22"/>
                <w:szCs w:val="22"/>
              </w:rPr>
            </w:pPr>
            <w:r w:rsidRPr="00387C1D">
              <w:rPr>
                <w:sz w:val="22"/>
                <w:szCs w:val="22"/>
              </w:rPr>
              <w:t>Político</w:t>
            </w:r>
          </w:p>
        </w:tc>
        <w:tc>
          <w:tcPr>
            <w:tcW w:w="6115" w:type="dxa"/>
          </w:tcPr>
          <w:p w14:paraId="1080E385" w14:textId="36C7C32D" w:rsidR="008F12C4" w:rsidRPr="00387C1D" w:rsidRDefault="00C2088F" w:rsidP="006B5C25">
            <w:pPr>
              <w:cnfStyle w:val="000000100000" w:firstRow="0" w:lastRow="0" w:firstColumn="0" w:lastColumn="0" w:oddVBand="0" w:evenVBand="0" w:oddHBand="1" w:evenHBand="0" w:firstRowFirstColumn="0" w:firstRowLastColumn="0" w:lastRowFirstColumn="0" w:lastRowLastColumn="0"/>
              <w:rPr>
                <w:sz w:val="22"/>
                <w:szCs w:val="22"/>
              </w:rPr>
            </w:pPr>
            <w:r w:rsidRPr="00C2088F">
              <w:rPr>
                <w:sz w:val="22"/>
                <w:szCs w:val="22"/>
              </w:rPr>
              <w:t>Los gobiernos que promueven políticas de calidad y sostenibilidad ofrecen incentivos para la certificación. Sin embargo, cambios regulatorios pueden aumentar los costos operativos.</w:t>
            </w:r>
          </w:p>
        </w:tc>
      </w:tr>
      <w:tr w:rsidR="008F12C4" w14:paraId="54139609" w14:textId="77777777" w:rsidTr="006B5C25">
        <w:tc>
          <w:tcPr>
            <w:cnfStyle w:val="001000000000" w:firstRow="0" w:lastRow="0" w:firstColumn="1" w:lastColumn="0" w:oddVBand="0" w:evenVBand="0" w:oddHBand="0" w:evenHBand="0" w:firstRowFirstColumn="0" w:firstRowLastColumn="0" w:lastRowFirstColumn="0" w:lastRowLastColumn="0"/>
            <w:tcW w:w="4320" w:type="dxa"/>
          </w:tcPr>
          <w:p w14:paraId="472DDB7F" w14:textId="77777777" w:rsidR="008F12C4" w:rsidRPr="00387C1D" w:rsidRDefault="008F12C4" w:rsidP="006B5C25">
            <w:pPr>
              <w:rPr>
                <w:sz w:val="22"/>
                <w:szCs w:val="22"/>
              </w:rPr>
            </w:pPr>
            <w:r w:rsidRPr="00387C1D">
              <w:rPr>
                <w:sz w:val="22"/>
                <w:szCs w:val="22"/>
              </w:rPr>
              <w:t>Económico</w:t>
            </w: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088F" w:rsidRPr="00C2088F" w14:paraId="63FF5EA6" w14:textId="77777777" w:rsidTr="00C2088F">
              <w:trPr>
                <w:tblCellSpacing w:w="15" w:type="dxa"/>
              </w:trPr>
              <w:tc>
                <w:tcPr>
                  <w:tcW w:w="0" w:type="auto"/>
                  <w:vAlign w:val="center"/>
                  <w:hideMark/>
                </w:tcPr>
                <w:p w14:paraId="430CFAD4" w14:textId="77777777" w:rsidR="00C2088F" w:rsidRPr="00C2088F" w:rsidRDefault="00C2088F" w:rsidP="00C2088F">
                  <w:pPr>
                    <w:spacing w:after="0" w:line="240" w:lineRule="auto"/>
                    <w:rPr>
                      <w:sz w:val="22"/>
                      <w:szCs w:val="22"/>
                      <w:lang w:val="es-ES"/>
                    </w:rPr>
                  </w:pPr>
                </w:p>
              </w:tc>
            </w:tr>
          </w:tbl>
          <w:p w14:paraId="56DEE9A9" w14:textId="77777777" w:rsidR="00C2088F" w:rsidRPr="00C2088F" w:rsidRDefault="00C2088F" w:rsidP="00C2088F">
            <w:pPr>
              <w:cnfStyle w:val="000000000000" w:firstRow="0" w:lastRow="0" w:firstColumn="0" w:lastColumn="0" w:oddVBand="0" w:evenVBand="0" w:oddHBand="0" w:evenHBand="0" w:firstRowFirstColumn="0" w:firstRowLastColumn="0" w:lastRowFirstColumn="0" w:lastRowLastColumn="0"/>
              <w:rPr>
                <w:vanish/>
                <w:sz w:val="22"/>
                <w:szCs w:val="22"/>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C2088F" w:rsidRPr="00C2088F" w14:paraId="3FD7630A" w14:textId="77777777" w:rsidTr="00C2088F">
              <w:trPr>
                <w:tblCellSpacing w:w="15" w:type="dxa"/>
              </w:trPr>
              <w:tc>
                <w:tcPr>
                  <w:tcW w:w="0" w:type="auto"/>
                  <w:vAlign w:val="center"/>
                  <w:hideMark/>
                </w:tcPr>
                <w:p w14:paraId="40B6CCB0" w14:textId="77777777" w:rsidR="00C2088F" w:rsidRPr="00C2088F" w:rsidRDefault="00C2088F" w:rsidP="00C2088F">
                  <w:pPr>
                    <w:spacing w:after="0" w:line="240" w:lineRule="auto"/>
                    <w:rPr>
                      <w:sz w:val="22"/>
                      <w:szCs w:val="22"/>
                      <w:lang w:val="es-ES"/>
                    </w:rPr>
                  </w:pPr>
                  <w:r w:rsidRPr="00C2088F">
                    <w:rPr>
                      <w:sz w:val="22"/>
                      <w:szCs w:val="22"/>
                      <w:lang w:val="es-ES"/>
                    </w:rPr>
                    <w:t>Condiciones económicas estables, como inflación moderada y acceso a financiamiento, facilitan la implementación del SGC. No obstante, recesiones económicas pueden limitar recursos.</w:t>
                  </w:r>
                </w:p>
              </w:tc>
            </w:tr>
          </w:tbl>
          <w:p w14:paraId="454A7266" w14:textId="0202DE0B" w:rsidR="008F12C4" w:rsidRPr="00387C1D" w:rsidRDefault="008F12C4" w:rsidP="006B5C25">
            <w:pPr>
              <w:cnfStyle w:val="000000000000" w:firstRow="0" w:lastRow="0" w:firstColumn="0" w:lastColumn="0" w:oddVBand="0" w:evenVBand="0" w:oddHBand="0" w:evenHBand="0" w:firstRowFirstColumn="0" w:firstRowLastColumn="0" w:lastRowFirstColumn="0" w:lastRowLastColumn="0"/>
              <w:rPr>
                <w:sz w:val="22"/>
                <w:szCs w:val="22"/>
              </w:rPr>
            </w:pPr>
          </w:p>
        </w:tc>
      </w:tr>
      <w:tr w:rsidR="008F12C4" w14:paraId="2FBF1CD0" w14:textId="77777777" w:rsidTr="006B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6FAF17" w14:textId="77777777" w:rsidR="008F12C4" w:rsidRPr="00387C1D" w:rsidRDefault="008F12C4" w:rsidP="006B5C25">
            <w:pPr>
              <w:rPr>
                <w:sz w:val="22"/>
                <w:szCs w:val="22"/>
              </w:rPr>
            </w:pPr>
            <w:r w:rsidRPr="00387C1D">
              <w:rPr>
                <w:sz w:val="22"/>
                <w:szCs w:val="22"/>
              </w:rPr>
              <w:t>Social</w:t>
            </w:r>
          </w:p>
        </w:tc>
        <w:tc>
          <w:tcPr>
            <w:tcW w:w="6115" w:type="dxa"/>
          </w:tcPr>
          <w:p w14:paraId="6D9CB455" w14:textId="6424AAE4" w:rsidR="008F12C4" w:rsidRPr="00387C1D" w:rsidRDefault="00C2088F" w:rsidP="006B5C25">
            <w:pPr>
              <w:cnfStyle w:val="000000100000" w:firstRow="0" w:lastRow="0" w:firstColumn="0" w:lastColumn="0" w:oddVBand="0" w:evenVBand="0" w:oddHBand="1" w:evenHBand="0" w:firstRowFirstColumn="0" w:firstRowLastColumn="0" w:lastRowFirstColumn="0" w:lastRowLastColumn="0"/>
              <w:rPr>
                <w:sz w:val="22"/>
                <w:szCs w:val="22"/>
              </w:rPr>
            </w:pPr>
            <w:r w:rsidRPr="00C2088F">
              <w:rPr>
                <w:sz w:val="22"/>
                <w:szCs w:val="22"/>
              </w:rPr>
              <w:t>Mayor demanda de productos y servicios certificados por parte de consumidores conscientes de la calidad y sostenibilidad. Resistencia cultural al cambio puede ser un desafío.</w:t>
            </w:r>
          </w:p>
        </w:tc>
      </w:tr>
      <w:tr w:rsidR="008F12C4" w14:paraId="779F413B" w14:textId="77777777" w:rsidTr="006B5C25">
        <w:tc>
          <w:tcPr>
            <w:cnfStyle w:val="001000000000" w:firstRow="0" w:lastRow="0" w:firstColumn="1" w:lastColumn="0" w:oddVBand="0" w:evenVBand="0" w:oddHBand="0" w:evenHBand="0" w:firstRowFirstColumn="0" w:firstRowLastColumn="0" w:lastRowFirstColumn="0" w:lastRowLastColumn="0"/>
            <w:tcW w:w="4320" w:type="dxa"/>
          </w:tcPr>
          <w:p w14:paraId="51C11BD2" w14:textId="77777777" w:rsidR="008F12C4" w:rsidRPr="00387C1D" w:rsidRDefault="008F12C4" w:rsidP="006B5C25">
            <w:pPr>
              <w:rPr>
                <w:sz w:val="22"/>
                <w:szCs w:val="22"/>
              </w:rPr>
            </w:pPr>
            <w:r w:rsidRPr="00387C1D">
              <w:rPr>
                <w:sz w:val="22"/>
                <w:szCs w:val="22"/>
              </w:rPr>
              <w:t>Tecnológico</w:t>
            </w:r>
          </w:p>
        </w:tc>
        <w:tc>
          <w:tcPr>
            <w:tcW w:w="6115" w:type="dxa"/>
          </w:tcPr>
          <w:p w14:paraId="78553355" w14:textId="4788BEE9" w:rsidR="008F12C4" w:rsidRPr="00387C1D" w:rsidRDefault="00C2088F" w:rsidP="006B5C25">
            <w:pPr>
              <w:cnfStyle w:val="000000000000" w:firstRow="0" w:lastRow="0" w:firstColumn="0" w:lastColumn="0" w:oddVBand="0" w:evenVBand="0" w:oddHBand="0" w:evenHBand="0" w:firstRowFirstColumn="0" w:firstRowLastColumn="0" w:lastRowFirstColumn="0" w:lastRowLastColumn="0"/>
              <w:rPr>
                <w:sz w:val="22"/>
                <w:szCs w:val="22"/>
              </w:rPr>
            </w:pPr>
            <w:r w:rsidRPr="00C2088F">
              <w:rPr>
                <w:sz w:val="22"/>
                <w:szCs w:val="22"/>
              </w:rPr>
              <w:t>Disponibilidad de software especializado y herramientas digitales para automatizar procesos y facilitar auditorías. Rápido avance tecnológico puede requerir actualizaciones frecuentes.</w:t>
            </w:r>
          </w:p>
        </w:tc>
      </w:tr>
      <w:tr w:rsidR="008F12C4" w14:paraId="23BE5A12" w14:textId="77777777" w:rsidTr="006B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96704B" w14:textId="77777777" w:rsidR="008F12C4" w:rsidRPr="00387C1D" w:rsidRDefault="008F12C4" w:rsidP="006B5C25">
            <w:pPr>
              <w:rPr>
                <w:sz w:val="22"/>
                <w:szCs w:val="22"/>
              </w:rPr>
            </w:pPr>
            <w:r w:rsidRPr="00387C1D">
              <w:rPr>
                <w:sz w:val="22"/>
                <w:szCs w:val="22"/>
              </w:rPr>
              <w:t>Ecológico</w:t>
            </w:r>
          </w:p>
        </w:tc>
        <w:tc>
          <w:tcPr>
            <w:tcW w:w="6115" w:type="dxa"/>
          </w:tcPr>
          <w:p w14:paraId="2D5EAA77" w14:textId="4405286E" w:rsidR="008F12C4" w:rsidRPr="00387C1D" w:rsidRDefault="00C2088F" w:rsidP="006B5C25">
            <w:pPr>
              <w:cnfStyle w:val="000000100000" w:firstRow="0" w:lastRow="0" w:firstColumn="0" w:lastColumn="0" w:oddVBand="0" w:evenVBand="0" w:oddHBand="1" w:evenHBand="0" w:firstRowFirstColumn="0" w:firstRowLastColumn="0" w:lastRowFirstColumn="0" w:lastRowLastColumn="0"/>
              <w:rPr>
                <w:sz w:val="22"/>
                <w:szCs w:val="22"/>
              </w:rPr>
            </w:pPr>
            <w:r w:rsidRPr="00C2088F">
              <w:rPr>
                <w:sz w:val="22"/>
                <w:szCs w:val="22"/>
              </w:rPr>
              <w:t>Regulaciones ambientales impulsan la adopción de prácticas sostenibles, como la reducción de desechos y eficiencia energética, alineadas con los principios del SGC.</w:t>
            </w:r>
          </w:p>
        </w:tc>
      </w:tr>
      <w:tr w:rsidR="008F12C4" w14:paraId="668D52B3" w14:textId="77777777" w:rsidTr="006B5C25">
        <w:tc>
          <w:tcPr>
            <w:cnfStyle w:val="001000000000" w:firstRow="0" w:lastRow="0" w:firstColumn="1" w:lastColumn="0" w:oddVBand="0" w:evenVBand="0" w:oddHBand="0" w:evenHBand="0" w:firstRowFirstColumn="0" w:firstRowLastColumn="0" w:lastRowFirstColumn="0" w:lastRowLastColumn="0"/>
            <w:tcW w:w="4320" w:type="dxa"/>
          </w:tcPr>
          <w:p w14:paraId="589218EA" w14:textId="77777777" w:rsidR="008F12C4" w:rsidRPr="00387C1D" w:rsidRDefault="008F12C4" w:rsidP="006B5C25">
            <w:pPr>
              <w:rPr>
                <w:sz w:val="22"/>
                <w:szCs w:val="22"/>
              </w:rPr>
            </w:pPr>
            <w:r w:rsidRPr="00387C1D">
              <w:rPr>
                <w:sz w:val="22"/>
                <w:szCs w:val="22"/>
              </w:rPr>
              <w:t>Regulaciones (Legal)</w:t>
            </w:r>
          </w:p>
        </w:tc>
        <w:tc>
          <w:tcPr>
            <w:tcW w:w="6115" w:type="dxa"/>
          </w:tcPr>
          <w:p w14:paraId="77D2A192" w14:textId="5AE08BE8" w:rsidR="008F12C4" w:rsidRPr="00387C1D" w:rsidRDefault="00C2088F" w:rsidP="006B5C25">
            <w:pPr>
              <w:cnfStyle w:val="000000000000" w:firstRow="0" w:lastRow="0" w:firstColumn="0" w:lastColumn="0" w:oddVBand="0" w:evenVBand="0" w:oddHBand="0" w:evenHBand="0" w:firstRowFirstColumn="0" w:firstRowLastColumn="0" w:lastRowFirstColumn="0" w:lastRowLastColumn="0"/>
              <w:rPr>
                <w:sz w:val="22"/>
                <w:szCs w:val="22"/>
              </w:rPr>
            </w:pPr>
            <w:r w:rsidRPr="00C2088F">
              <w:rPr>
                <w:sz w:val="22"/>
                <w:szCs w:val="22"/>
              </w:rPr>
              <w:t>Cumplimiento obligatorio de normativas como ISO 9001:2015 y leyes laborales. Falta de adaptación a cambios legislativos podría derivar en sanciones.</w:t>
            </w:r>
          </w:p>
        </w:tc>
      </w:tr>
    </w:tbl>
    <w:p w14:paraId="49CAA43D" w14:textId="77777777" w:rsidR="00C279A7" w:rsidRDefault="00C279A7" w:rsidP="003A4E23">
      <w:pPr>
        <w:rPr>
          <w:lang w:val="es-419"/>
        </w:rPr>
      </w:pPr>
    </w:p>
    <w:p w14:paraId="1022271F" w14:textId="77777777" w:rsidR="00C2088F" w:rsidRDefault="00C2088F" w:rsidP="003A4E23">
      <w:pPr>
        <w:rPr>
          <w:lang w:val="es-419"/>
        </w:rPr>
      </w:pPr>
    </w:p>
    <w:p w14:paraId="03BEC261" w14:textId="4CFE00B7" w:rsidR="00B945EC" w:rsidRDefault="00B945EC" w:rsidP="00B945EC">
      <w:pPr>
        <w:pStyle w:val="Ttulo2"/>
        <w:rPr>
          <w:lang w:val="es-419"/>
        </w:rPr>
      </w:pPr>
      <w:r>
        <w:rPr>
          <w:lang w:val="es-419"/>
        </w:rPr>
        <w:lastRenderedPageBreak/>
        <w:t>Historial de Versiones</w:t>
      </w:r>
    </w:p>
    <w:tbl>
      <w:tblPr>
        <w:tblStyle w:val="TabeladeGrade1Clara"/>
        <w:tblW w:w="0" w:type="auto"/>
        <w:tblLook w:val="04A0" w:firstRow="1" w:lastRow="0" w:firstColumn="1" w:lastColumn="0" w:noHBand="0" w:noVBand="1"/>
      </w:tblPr>
      <w:tblGrid>
        <w:gridCol w:w="1345"/>
        <w:gridCol w:w="1710"/>
        <w:gridCol w:w="5490"/>
        <w:gridCol w:w="1911"/>
      </w:tblGrid>
      <w:tr w:rsidR="00B945EC" w14:paraId="593E37BD" w14:textId="77777777" w:rsidTr="00B94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E43D8C" w14:textId="068C6274" w:rsidR="00B945EC" w:rsidRDefault="00B945EC" w:rsidP="00B945EC">
            <w:pPr>
              <w:rPr>
                <w:lang w:val="es-419"/>
              </w:rPr>
            </w:pPr>
            <w:r>
              <w:rPr>
                <w:lang w:val="es-419"/>
              </w:rPr>
              <w:t>Versión</w:t>
            </w:r>
          </w:p>
        </w:tc>
        <w:tc>
          <w:tcPr>
            <w:tcW w:w="1710" w:type="dxa"/>
          </w:tcPr>
          <w:p w14:paraId="451A1779" w14:textId="3D001490"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Fecha</w:t>
            </w:r>
          </w:p>
        </w:tc>
        <w:tc>
          <w:tcPr>
            <w:tcW w:w="5490" w:type="dxa"/>
          </w:tcPr>
          <w:p w14:paraId="1503614A" w14:textId="6A27F9CD"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Asiento</w:t>
            </w:r>
          </w:p>
        </w:tc>
        <w:tc>
          <w:tcPr>
            <w:tcW w:w="1911" w:type="dxa"/>
          </w:tcPr>
          <w:p w14:paraId="3DB80FAD" w14:textId="600A29F9"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Aprueba</w:t>
            </w:r>
          </w:p>
        </w:tc>
      </w:tr>
      <w:tr w:rsidR="00B945EC" w14:paraId="3991D160" w14:textId="77777777" w:rsidTr="00B945EC">
        <w:tc>
          <w:tcPr>
            <w:cnfStyle w:val="001000000000" w:firstRow="0" w:lastRow="0" w:firstColumn="1" w:lastColumn="0" w:oddVBand="0" w:evenVBand="0" w:oddHBand="0" w:evenHBand="0" w:firstRowFirstColumn="0" w:firstRowLastColumn="0" w:lastRowFirstColumn="0" w:lastRowLastColumn="0"/>
            <w:tcW w:w="1345" w:type="dxa"/>
          </w:tcPr>
          <w:p w14:paraId="42ED29F9" w14:textId="4E6F0EF6" w:rsidR="00B945EC" w:rsidRDefault="00B945EC" w:rsidP="00B945EC">
            <w:pPr>
              <w:rPr>
                <w:lang w:val="es-419"/>
              </w:rPr>
            </w:pPr>
            <w:r>
              <w:rPr>
                <w:lang w:val="es-419"/>
              </w:rPr>
              <w:t>00</w:t>
            </w:r>
            <w:r w:rsidR="00992657">
              <w:rPr>
                <w:lang w:val="es-419"/>
              </w:rPr>
              <w:t>0</w:t>
            </w:r>
          </w:p>
        </w:tc>
        <w:tc>
          <w:tcPr>
            <w:tcW w:w="1710" w:type="dxa"/>
          </w:tcPr>
          <w:p w14:paraId="1F7006E8" w14:textId="683C7F15" w:rsidR="00B945EC" w:rsidRDefault="00C2088F"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01</w:t>
            </w:r>
            <w:r w:rsidR="00B945EC">
              <w:rPr>
                <w:lang w:val="es-419"/>
              </w:rPr>
              <w:t>.</w:t>
            </w:r>
            <w:r w:rsidR="00992657">
              <w:rPr>
                <w:lang w:val="es-419"/>
              </w:rPr>
              <w:t>1</w:t>
            </w:r>
            <w:r>
              <w:rPr>
                <w:lang w:val="es-419"/>
              </w:rPr>
              <w:t>2</w:t>
            </w:r>
            <w:r w:rsidR="00B945EC">
              <w:rPr>
                <w:lang w:val="es-419"/>
              </w:rPr>
              <w:t>.2024</w:t>
            </w:r>
          </w:p>
        </w:tc>
        <w:tc>
          <w:tcPr>
            <w:tcW w:w="5490" w:type="dxa"/>
          </w:tcPr>
          <w:p w14:paraId="27C5B6C4" w14:textId="438C39F6"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Original </w:t>
            </w:r>
          </w:p>
        </w:tc>
        <w:tc>
          <w:tcPr>
            <w:tcW w:w="1911" w:type="dxa"/>
          </w:tcPr>
          <w:p w14:paraId="670157CA" w14:textId="7E23E861"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CEO</w:t>
            </w:r>
          </w:p>
        </w:tc>
      </w:tr>
      <w:tr w:rsidR="00B945EC" w14:paraId="1D33F9DE" w14:textId="77777777" w:rsidTr="00B945EC">
        <w:tc>
          <w:tcPr>
            <w:cnfStyle w:val="001000000000" w:firstRow="0" w:lastRow="0" w:firstColumn="1" w:lastColumn="0" w:oddVBand="0" w:evenVBand="0" w:oddHBand="0" w:evenHBand="0" w:firstRowFirstColumn="0" w:firstRowLastColumn="0" w:lastRowFirstColumn="0" w:lastRowLastColumn="0"/>
            <w:tcW w:w="1345" w:type="dxa"/>
          </w:tcPr>
          <w:p w14:paraId="2A1A266B" w14:textId="28ACBF86" w:rsidR="00B945EC" w:rsidRDefault="00B945EC" w:rsidP="00B945EC">
            <w:pPr>
              <w:rPr>
                <w:lang w:val="es-419"/>
              </w:rPr>
            </w:pPr>
          </w:p>
        </w:tc>
        <w:tc>
          <w:tcPr>
            <w:tcW w:w="1710" w:type="dxa"/>
          </w:tcPr>
          <w:p w14:paraId="4840A8D8" w14:textId="7712D61B"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490" w:type="dxa"/>
          </w:tcPr>
          <w:p w14:paraId="739A355E" w14:textId="6EE8E129"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DFE3B40" w14:textId="0B7DA9D4"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r w:rsidR="00B945EC" w14:paraId="522CE143" w14:textId="77777777" w:rsidTr="00B945EC">
        <w:tc>
          <w:tcPr>
            <w:cnfStyle w:val="001000000000" w:firstRow="0" w:lastRow="0" w:firstColumn="1" w:lastColumn="0" w:oddVBand="0" w:evenVBand="0" w:oddHBand="0" w:evenHBand="0" w:firstRowFirstColumn="0" w:firstRowLastColumn="0" w:lastRowFirstColumn="0" w:lastRowLastColumn="0"/>
            <w:tcW w:w="1345" w:type="dxa"/>
          </w:tcPr>
          <w:p w14:paraId="6E05779D" w14:textId="77777777" w:rsidR="00B945EC" w:rsidRDefault="00B945EC" w:rsidP="00B945EC">
            <w:pPr>
              <w:rPr>
                <w:lang w:val="es-419"/>
              </w:rPr>
            </w:pPr>
          </w:p>
        </w:tc>
        <w:tc>
          <w:tcPr>
            <w:tcW w:w="1710" w:type="dxa"/>
          </w:tcPr>
          <w:p w14:paraId="62CAA430"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490" w:type="dxa"/>
          </w:tcPr>
          <w:p w14:paraId="1309C3D8"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8AAF95A"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bl>
    <w:p w14:paraId="562DFDE5" w14:textId="77777777" w:rsidR="00B945EC" w:rsidRPr="00B945EC" w:rsidRDefault="00B945EC" w:rsidP="00B945EC">
      <w:pPr>
        <w:rPr>
          <w:lang w:val="es-419"/>
        </w:rPr>
      </w:pPr>
    </w:p>
    <w:sectPr w:rsidR="00B945EC" w:rsidRPr="00B945EC" w:rsidSect="00B945EC">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B042C" w14:textId="77777777" w:rsidR="001E56D8" w:rsidRDefault="001E56D8" w:rsidP="003A4E23">
      <w:pPr>
        <w:spacing w:after="0" w:line="240" w:lineRule="auto"/>
      </w:pPr>
      <w:r>
        <w:separator/>
      </w:r>
    </w:p>
  </w:endnote>
  <w:endnote w:type="continuationSeparator" w:id="0">
    <w:p w14:paraId="301BF349" w14:textId="77777777" w:rsidR="001E56D8" w:rsidRDefault="001E56D8" w:rsidP="003A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1A97" w14:textId="77777777" w:rsidR="002925AB" w:rsidRDefault="002925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07251" w14:textId="77777777" w:rsidR="002925AB" w:rsidRDefault="002925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96C09" w14:textId="77777777" w:rsidR="002925AB" w:rsidRDefault="002925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D78FC" w14:textId="77777777" w:rsidR="001E56D8" w:rsidRDefault="001E56D8" w:rsidP="003A4E23">
      <w:pPr>
        <w:spacing w:after="0" w:line="240" w:lineRule="auto"/>
      </w:pPr>
      <w:r>
        <w:separator/>
      </w:r>
    </w:p>
  </w:footnote>
  <w:footnote w:type="continuationSeparator" w:id="0">
    <w:p w14:paraId="03A7D1F0" w14:textId="77777777" w:rsidR="001E56D8" w:rsidRDefault="001E56D8" w:rsidP="003A4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498B9" w14:textId="77777777" w:rsidR="002925AB" w:rsidRDefault="002925A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5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42"/>
      <w:gridCol w:w="5603"/>
      <w:gridCol w:w="1980"/>
    </w:tblGrid>
    <w:tr w:rsidR="00A54B57" w14:paraId="003AE25D" w14:textId="77777777" w:rsidTr="00B945EC">
      <w:tc>
        <w:tcPr>
          <w:tcW w:w="2942" w:type="dxa"/>
          <w:vMerge w:val="restart"/>
        </w:tcPr>
        <w:p w14:paraId="5B3E7C73" w14:textId="1D97CDCC" w:rsidR="00B945EC" w:rsidRDefault="009E152C">
          <w:pPr>
            <w:pStyle w:val="Cabealho"/>
          </w:pPr>
          <w:r>
            <w:rPr>
              <w:noProof/>
            </w:rPr>
            <w:drawing>
              <wp:anchor distT="0" distB="0" distL="114300" distR="114300" simplePos="0" relativeHeight="251658240" behindDoc="0" locked="0" layoutInCell="1" allowOverlap="1" wp14:anchorId="2E02C6F3" wp14:editId="45BD2994">
                <wp:simplePos x="0" y="0"/>
                <wp:positionH relativeFrom="column">
                  <wp:posOffset>-71755</wp:posOffset>
                </wp:positionH>
                <wp:positionV relativeFrom="paragraph">
                  <wp:posOffset>-570230</wp:posOffset>
                </wp:positionV>
                <wp:extent cx="1704975" cy="1704975"/>
                <wp:effectExtent l="0" t="0" r="9525" b="0"/>
                <wp:wrapNone/>
                <wp:docPr id="9802462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8A158" w14:textId="19BA8FDF" w:rsidR="00AF6E33" w:rsidRPr="00AF6E33" w:rsidRDefault="00AF6E33" w:rsidP="00AF6E33"/>
      </w:tc>
      <w:tc>
        <w:tcPr>
          <w:tcW w:w="5603" w:type="dxa"/>
        </w:tcPr>
        <w:p w14:paraId="44527247" w14:textId="552B2FB6" w:rsidR="00B945EC" w:rsidRPr="00B945EC" w:rsidRDefault="009E152C" w:rsidP="00B945EC">
          <w:pPr>
            <w:pStyle w:val="Cabealho"/>
            <w:jc w:val="center"/>
            <w:rPr>
              <w:b/>
              <w:bCs/>
              <w:sz w:val="28"/>
              <w:szCs w:val="28"/>
            </w:rPr>
          </w:pPr>
          <w:r w:rsidRPr="009E152C">
            <w:rPr>
              <w:b/>
              <w:bCs/>
              <w:sz w:val="28"/>
              <w:szCs w:val="28"/>
            </w:rPr>
            <w:t xml:space="preserve">TERRA GROUP </w:t>
          </w:r>
          <w:proofErr w:type="gramStart"/>
          <w:r w:rsidRPr="009E152C">
            <w:rPr>
              <w:b/>
              <w:bCs/>
              <w:sz w:val="28"/>
              <w:szCs w:val="28"/>
            </w:rPr>
            <w:t>S.A</w:t>
          </w:r>
          <w:proofErr w:type="gramEnd"/>
        </w:p>
      </w:tc>
      <w:tc>
        <w:tcPr>
          <w:tcW w:w="1980" w:type="dxa"/>
        </w:tcPr>
        <w:p w14:paraId="29F6E84F" w14:textId="020C71FB" w:rsidR="00B945EC" w:rsidRPr="00B945EC" w:rsidRDefault="00B945EC">
          <w:pPr>
            <w:pStyle w:val="Cabealho"/>
            <w:rPr>
              <w:sz w:val="20"/>
              <w:szCs w:val="20"/>
            </w:rPr>
          </w:pPr>
          <w:r w:rsidRPr="00B945EC">
            <w:rPr>
              <w:sz w:val="20"/>
              <w:szCs w:val="20"/>
            </w:rPr>
            <w:t>Ver. 0</w:t>
          </w:r>
        </w:p>
      </w:tc>
    </w:tr>
    <w:tr w:rsidR="00A54B57" w14:paraId="28EA7F2E" w14:textId="77777777" w:rsidTr="00B945EC">
      <w:tc>
        <w:tcPr>
          <w:tcW w:w="2942" w:type="dxa"/>
          <w:vMerge/>
        </w:tcPr>
        <w:p w14:paraId="6E0ABE15" w14:textId="77777777" w:rsidR="00B945EC" w:rsidRDefault="00B945EC">
          <w:pPr>
            <w:pStyle w:val="Cabealho"/>
          </w:pPr>
        </w:p>
      </w:tc>
      <w:tc>
        <w:tcPr>
          <w:tcW w:w="5603" w:type="dxa"/>
        </w:tcPr>
        <w:p w14:paraId="2D2B2398" w14:textId="21416EA7" w:rsidR="00B945EC" w:rsidRPr="003E6E28" w:rsidRDefault="00B945EC" w:rsidP="003E6E28">
          <w:pPr>
            <w:pStyle w:val="Cabealho"/>
            <w:jc w:val="center"/>
            <w:rPr>
              <w:sz w:val="20"/>
              <w:szCs w:val="20"/>
              <w:lang w:val="es-ES"/>
            </w:rPr>
          </w:pPr>
          <w:r w:rsidRPr="00B945EC">
            <w:rPr>
              <w:sz w:val="20"/>
              <w:szCs w:val="20"/>
            </w:rPr>
            <w:t>DOC 00</w:t>
          </w:r>
          <w:r w:rsidR="008F12C4">
            <w:rPr>
              <w:sz w:val="20"/>
              <w:szCs w:val="20"/>
            </w:rPr>
            <w:t>2</w:t>
          </w:r>
          <w:r w:rsidRPr="00B945EC">
            <w:rPr>
              <w:sz w:val="20"/>
              <w:szCs w:val="20"/>
            </w:rPr>
            <w:t xml:space="preserve"> </w:t>
          </w:r>
          <w:proofErr w:type="gramStart"/>
          <w:r w:rsidRPr="00B945EC">
            <w:rPr>
              <w:sz w:val="20"/>
              <w:szCs w:val="20"/>
            </w:rPr>
            <w:t xml:space="preserve">| </w:t>
          </w:r>
          <w:r w:rsidR="003E6E28" w:rsidRPr="003E6E28">
            <w:rPr>
              <w:sz w:val="20"/>
              <w:szCs w:val="20"/>
              <w:lang w:val="es-ES"/>
            </w:rPr>
            <w:t xml:space="preserve"> </w:t>
          </w:r>
          <w:r w:rsidR="008F12C4" w:rsidRPr="00B945EC">
            <w:rPr>
              <w:sz w:val="20"/>
              <w:szCs w:val="20"/>
            </w:rPr>
            <w:t>Análisis</w:t>
          </w:r>
          <w:proofErr w:type="gramEnd"/>
          <w:r w:rsidR="008F12C4" w:rsidRPr="00B945EC">
            <w:rPr>
              <w:sz w:val="20"/>
              <w:szCs w:val="20"/>
            </w:rPr>
            <w:t xml:space="preserve"> del Contexto</w:t>
          </w:r>
        </w:p>
      </w:tc>
      <w:tc>
        <w:tcPr>
          <w:tcW w:w="1980" w:type="dxa"/>
        </w:tcPr>
        <w:p w14:paraId="6B0138BC" w14:textId="70D9A5CA" w:rsidR="00B945EC" w:rsidRPr="00B945EC" w:rsidRDefault="00B945EC">
          <w:pPr>
            <w:pStyle w:val="Cabealho"/>
            <w:rPr>
              <w:sz w:val="20"/>
              <w:szCs w:val="20"/>
            </w:rPr>
          </w:pPr>
          <w:r w:rsidRPr="00B945EC">
            <w:rPr>
              <w:sz w:val="20"/>
              <w:szCs w:val="20"/>
            </w:rPr>
            <w:t xml:space="preserve">Fecha: </w:t>
          </w:r>
          <w:r w:rsidR="000C52E4">
            <w:rPr>
              <w:sz w:val="20"/>
              <w:szCs w:val="20"/>
            </w:rPr>
            <w:t>01</w:t>
          </w:r>
          <w:r w:rsidRPr="00B945EC">
            <w:rPr>
              <w:sz w:val="20"/>
              <w:szCs w:val="20"/>
            </w:rPr>
            <w:t>.</w:t>
          </w:r>
          <w:r w:rsidR="003E6E28">
            <w:rPr>
              <w:sz w:val="20"/>
              <w:szCs w:val="20"/>
            </w:rPr>
            <w:t>1</w:t>
          </w:r>
          <w:r w:rsidR="000C52E4">
            <w:rPr>
              <w:sz w:val="20"/>
              <w:szCs w:val="20"/>
            </w:rPr>
            <w:t>2</w:t>
          </w:r>
          <w:r w:rsidRPr="00B945EC">
            <w:rPr>
              <w:sz w:val="20"/>
              <w:szCs w:val="20"/>
            </w:rPr>
            <w:t>.2024</w:t>
          </w:r>
        </w:p>
      </w:tc>
    </w:tr>
    <w:tr w:rsidR="00A54B57" w14:paraId="5C7E3FFF" w14:textId="77777777" w:rsidTr="00B945EC">
      <w:tc>
        <w:tcPr>
          <w:tcW w:w="2942" w:type="dxa"/>
          <w:vMerge/>
        </w:tcPr>
        <w:p w14:paraId="471DDD5B" w14:textId="77777777" w:rsidR="00B945EC" w:rsidRDefault="00B945EC">
          <w:pPr>
            <w:pStyle w:val="Cabealho"/>
          </w:pPr>
        </w:p>
      </w:tc>
      <w:tc>
        <w:tcPr>
          <w:tcW w:w="5603" w:type="dxa"/>
        </w:tcPr>
        <w:p w14:paraId="5FC1B723" w14:textId="440BFFE8" w:rsidR="00B945EC" w:rsidRPr="00B945EC" w:rsidRDefault="00B945EC">
          <w:pPr>
            <w:pStyle w:val="Cabealho"/>
            <w:rPr>
              <w:sz w:val="20"/>
              <w:szCs w:val="20"/>
            </w:rPr>
          </w:pPr>
          <w:proofErr w:type="spellStart"/>
          <w:proofErr w:type="gramStart"/>
          <w:r w:rsidRPr="00B945EC">
            <w:rPr>
              <w:sz w:val="20"/>
              <w:szCs w:val="20"/>
            </w:rPr>
            <w:t>Crea:EGC</w:t>
          </w:r>
          <w:proofErr w:type="spellEnd"/>
          <w:proofErr w:type="gramEnd"/>
          <w:r w:rsidRPr="00B945EC">
            <w:rPr>
              <w:sz w:val="20"/>
              <w:szCs w:val="20"/>
            </w:rPr>
            <w:t xml:space="preserve">                                                     </w:t>
          </w:r>
          <w:r>
            <w:rPr>
              <w:sz w:val="20"/>
              <w:szCs w:val="20"/>
            </w:rPr>
            <w:t xml:space="preserve">                   </w:t>
          </w:r>
          <w:r w:rsidRPr="00B945EC">
            <w:rPr>
              <w:sz w:val="20"/>
              <w:szCs w:val="20"/>
            </w:rPr>
            <w:t xml:space="preserve">  Aprueba: </w:t>
          </w:r>
          <w:r w:rsidR="002925AB">
            <w:rPr>
              <w:sz w:val="20"/>
              <w:szCs w:val="20"/>
            </w:rPr>
            <w:t>CEO</w:t>
          </w:r>
        </w:p>
      </w:tc>
      <w:tc>
        <w:tcPr>
          <w:tcW w:w="1980" w:type="dxa"/>
        </w:tcPr>
        <w:p w14:paraId="259B93B5" w14:textId="3344B75C" w:rsidR="00B945EC" w:rsidRPr="00B945EC" w:rsidRDefault="00B945EC">
          <w:pPr>
            <w:pStyle w:val="Cabealho"/>
            <w:rPr>
              <w:sz w:val="20"/>
              <w:szCs w:val="20"/>
            </w:rPr>
          </w:pPr>
          <w:r w:rsidRPr="00B945EC">
            <w:rPr>
              <w:sz w:val="20"/>
              <w:szCs w:val="20"/>
              <w:lang w:val="es-MX"/>
            </w:rPr>
            <w:t xml:space="preserve">Página </w:t>
          </w:r>
          <w:r w:rsidRPr="00B945EC">
            <w:rPr>
              <w:b/>
              <w:bCs/>
              <w:sz w:val="20"/>
              <w:szCs w:val="20"/>
            </w:rPr>
            <w:fldChar w:fldCharType="begin"/>
          </w:r>
          <w:r w:rsidRPr="00B945EC">
            <w:rPr>
              <w:b/>
              <w:bCs/>
              <w:sz w:val="20"/>
              <w:szCs w:val="20"/>
            </w:rPr>
            <w:instrText>PAGE  \* Arabic  \* MERGEFORMAT</w:instrText>
          </w:r>
          <w:r w:rsidRPr="00B945EC">
            <w:rPr>
              <w:b/>
              <w:bCs/>
              <w:sz w:val="20"/>
              <w:szCs w:val="20"/>
            </w:rPr>
            <w:fldChar w:fldCharType="separate"/>
          </w:r>
          <w:r w:rsidRPr="00B945EC">
            <w:rPr>
              <w:b/>
              <w:bCs/>
              <w:sz w:val="20"/>
              <w:szCs w:val="20"/>
              <w:lang w:val="es-MX"/>
            </w:rPr>
            <w:t>1</w:t>
          </w:r>
          <w:r w:rsidRPr="00B945EC">
            <w:rPr>
              <w:b/>
              <w:bCs/>
              <w:sz w:val="20"/>
              <w:szCs w:val="20"/>
            </w:rPr>
            <w:fldChar w:fldCharType="end"/>
          </w:r>
          <w:r w:rsidRPr="00B945EC">
            <w:rPr>
              <w:sz w:val="20"/>
              <w:szCs w:val="20"/>
              <w:lang w:val="es-MX"/>
            </w:rPr>
            <w:t xml:space="preserve"> de </w:t>
          </w:r>
          <w:r w:rsidRPr="00B945EC">
            <w:rPr>
              <w:b/>
              <w:bCs/>
              <w:sz w:val="20"/>
              <w:szCs w:val="20"/>
            </w:rPr>
            <w:fldChar w:fldCharType="begin"/>
          </w:r>
          <w:r w:rsidRPr="00B945EC">
            <w:rPr>
              <w:b/>
              <w:bCs/>
              <w:sz w:val="20"/>
              <w:szCs w:val="20"/>
            </w:rPr>
            <w:instrText>NUMPAGES  \* Arabic  \* MERGEFORMAT</w:instrText>
          </w:r>
          <w:r w:rsidRPr="00B945EC">
            <w:rPr>
              <w:b/>
              <w:bCs/>
              <w:sz w:val="20"/>
              <w:szCs w:val="20"/>
            </w:rPr>
            <w:fldChar w:fldCharType="separate"/>
          </w:r>
          <w:r w:rsidRPr="00B945EC">
            <w:rPr>
              <w:b/>
              <w:bCs/>
              <w:sz w:val="20"/>
              <w:szCs w:val="20"/>
              <w:lang w:val="es-MX"/>
            </w:rPr>
            <w:t>2</w:t>
          </w:r>
          <w:r w:rsidRPr="00B945EC">
            <w:rPr>
              <w:b/>
              <w:bCs/>
              <w:sz w:val="20"/>
              <w:szCs w:val="20"/>
            </w:rPr>
            <w:fldChar w:fldCharType="end"/>
          </w:r>
        </w:p>
      </w:tc>
    </w:tr>
  </w:tbl>
  <w:p w14:paraId="73D0D031" w14:textId="5907DC35" w:rsidR="003A4E23" w:rsidRDefault="001D2187" w:rsidP="001D2187">
    <w:pPr>
      <w:pStyle w:val="Cabealho"/>
      <w:pBdr>
        <w:bottom w:val="single" w:sz="6" w:space="1" w:color="auto"/>
      </w:pBdr>
      <w:tabs>
        <w:tab w:val="clear" w:pos="4419"/>
        <w:tab w:val="clear" w:pos="8838"/>
        <w:tab w:val="left" w:pos="1202"/>
      </w:tabs>
    </w:pPr>
    <w:r>
      <w:tab/>
    </w:r>
  </w:p>
  <w:p w14:paraId="0ABC4140" w14:textId="77777777" w:rsidR="00B945EC" w:rsidRDefault="00B945E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F57B8" w14:textId="77777777" w:rsidR="002925AB" w:rsidRDefault="002925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56174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B4BCF"/>
    <w:multiLevelType w:val="multilevel"/>
    <w:tmpl w:val="263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76C1"/>
    <w:multiLevelType w:val="multilevel"/>
    <w:tmpl w:val="3D8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53916"/>
    <w:multiLevelType w:val="multilevel"/>
    <w:tmpl w:val="70A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06504"/>
    <w:multiLevelType w:val="multilevel"/>
    <w:tmpl w:val="3162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47ECE"/>
    <w:multiLevelType w:val="multilevel"/>
    <w:tmpl w:val="E34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C0CB8"/>
    <w:multiLevelType w:val="hybridMultilevel"/>
    <w:tmpl w:val="50B48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BC1277C"/>
    <w:multiLevelType w:val="multilevel"/>
    <w:tmpl w:val="1470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506258">
    <w:abstractNumId w:val="7"/>
  </w:num>
  <w:num w:numId="2" w16cid:durableId="2026319856">
    <w:abstractNumId w:val="5"/>
  </w:num>
  <w:num w:numId="3" w16cid:durableId="545337571">
    <w:abstractNumId w:val="2"/>
  </w:num>
  <w:num w:numId="4" w16cid:durableId="448663118">
    <w:abstractNumId w:val="3"/>
  </w:num>
  <w:num w:numId="5" w16cid:durableId="1191070079">
    <w:abstractNumId w:val="0"/>
  </w:num>
  <w:num w:numId="6" w16cid:durableId="569845644">
    <w:abstractNumId w:val="6"/>
  </w:num>
  <w:num w:numId="7" w16cid:durableId="808977960">
    <w:abstractNumId w:val="4"/>
  </w:num>
  <w:num w:numId="8" w16cid:durableId="1920401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24"/>
    <w:rsid w:val="000074CC"/>
    <w:rsid w:val="00024935"/>
    <w:rsid w:val="000259CC"/>
    <w:rsid w:val="00086F17"/>
    <w:rsid w:val="000A4AB9"/>
    <w:rsid w:val="000B2D24"/>
    <w:rsid w:val="000C52E4"/>
    <w:rsid w:val="000E1F1A"/>
    <w:rsid w:val="001168EF"/>
    <w:rsid w:val="00135B5E"/>
    <w:rsid w:val="00165D6E"/>
    <w:rsid w:val="00192F93"/>
    <w:rsid w:val="001C178A"/>
    <w:rsid w:val="001C4D83"/>
    <w:rsid w:val="001D2187"/>
    <w:rsid w:val="001E1910"/>
    <w:rsid w:val="001E56D8"/>
    <w:rsid w:val="002736C6"/>
    <w:rsid w:val="00290D36"/>
    <w:rsid w:val="002925AB"/>
    <w:rsid w:val="002A4978"/>
    <w:rsid w:val="002B1851"/>
    <w:rsid w:val="002C5F86"/>
    <w:rsid w:val="002F7E6F"/>
    <w:rsid w:val="00324062"/>
    <w:rsid w:val="003304DE"/>
    <w:rsid w:val="00332380"/>
    <w:rsid w:val="003567DA"/>
    <w:rsid w:val="003658D6"/>
    <w:rsid w:val="00387C1D"/>
    <w:rsid w:val="003A4E23"/>
    <w:rsid w:val="003B4E8A"/>
    <w:rsid w:val="003D38DE"/>
    <w:rsid w:val="003E6E28"/>
    <w:rsid w:val="004003E4"/>
    <w:rsid w:val="00405921"/>
    <w:rsid w:val="004345E1"/>
    <w:rsid w:val="00466EE4"/>
    <w:rsid w:val="004A2410"/>
    <w:rsid w:val="004B7F13"/>
    <w:rsid w:val="004C0E4D"/>
    <w:rsid w:val="004C5FB4"/>
    <w:rsid w:val="00523913"/>
    <w:rsid w:val="005332B6"/>
    <w:rsid w:val="005342D3"/>
    <w:rsid w:val="005A0534"/>
    <w:rsid w:val="005A13D5"/>
    <w:rsid w:val="005A19C6"/>
    <w:rsid w:val="005C081F"/>
    <w:rsid w:val="005C6137"/>
    <w:rsid w:val="006168C2"/>
    <w:rsid w:val="00630280"/>
    <w:rsid w:val="00643AB1"/>
    <w:rsid w:val="0069292F"/>
    <w:rsid w:val="0069769B"/>
    <w:rsid w:val="0070746E"/>
    <w:rsid w:val="0072198F"/>
    <w:rsid w:val="00787389"/>
    <w:rsid w:val="0080688D"/>
    <w:rsid w:val="00834294"/>
    <w:rsid w:val="00852834"/>
    <w:rsid w:val="00863ADF"/>
    <w:rsid w:val="0088570C"/>
    <w:rsid w:val="00893EDB"/>
    <w:rsid w:val="008C436E"/>
    <w:rsid w:val="008E69E8"/>
    <w:rsid w:val="008E7B9E"/>
    <w:rsid w:val="008F12C4"/>
    <w:rsid w:val="0094705C"/>
    <w:rsid w:val="00992657"/>
    <w:rsid w:val="009B4594"/>
    <w:rsid w:val="009E0A76"/>
    <w:rsid w:val="009E152C"/>
    <w:rsid w:val="009F51A3"/>
    <w:rsid w:val="00A04DC7"/>
    <w:rsid w:val="00A122AD"/>
    <w:rsid w:val="00A3768C"/>
    <w:rsid w:val="00A54B57"/>
    <w:rsid w:val="00A96A1D"/>
    <w:rsid w:val="00AA4A8E"/>
    <w:rsid w:val="00AA7615"/>
    <w:rsid w:val="00AB250A"/>
    <w:rsid w:val="00AF6E33"/>
    <w:rsid w:val="00B41694"/>
    <w:rsid w:val="00B77FA6"/>
    <w:rsid w:val="00B945EC"/>
    <w:rsid w:val="00BD2227"/>
    <w:rsid w:val="00BE60CD"/>
    <w:rsid w:val="00C2088F"/>
    <w:rsid w:val="00C26898"/>
    <w:rsid w:val="00C279A7"/>
    <w:rsid w:val="00C4422F"/>
    <w:rsid w:val="00C45A77"/>
    <w:rsid w:val="00C45FE9"/>
    <w:rsid w:val="00C91039"/>
    <w:rsid w:val="00CA1B68"/>
    <w:rsid w:val="00CA74D8"/>
    <w:rsid w:val="00CC716D"/>
    <w:rsid w:val="00CD7960"/>
    <w:rsid w:val="00CF62FF"/>
    <w:rsid w:val="00D40951"/>
    <w:rsid w:val="00D627E0"/>
    <w:rsid w:val="00D754D8"/>
    <w:rsid w:val="00D82F98"/>
    <w:rsid w:val="00DA427B"/>
    <w:rsid w:val="00DB6CAB"/>
    <w:rsid w:val="00DC12EC"/>
    <w:rsid w:val="00E10B07"/>
    <w:rsid w:val="00E3187E"/>
    <w:rsid w:val="00E63153"/>
    <w:rsid w:val="00E81D12"/>
    <w:rsid w:val="00E949B9"/>
    <w:rsid w:val="00EA3245"/>
    <w:rsid w:val="00EB3DBA"/>
    <w:rsid w:val="00EB54DD"/>
    <w:rsid w:val="00ED299D"/>
    <w:rsid w:val="00EE7A85"/>
    <w:rsid w:val="00EF5B43"/>
    <w:rsid w:val="00F35BF9"/>
    <w:rsid w:val="00F64BEC"/>
    <w:rsid w:val="00F93263"/>
    <w:rsid w:val="00FC5F30"/>
    <w:rsid w:val="00FD3188"/>
    <w:rsid w:val="00FF4B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CA7B"/>
  <w15:chartTrackingRefBased/>
  <w15:docId w15:val="{404A240B-901D-4079-9C52-56E797B6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80"/>
  </w:style>
  <w:style w:type="paragraph" w:styleId="Ttulo1">
    <w:name w:val="heading 1"/>
    <w:basedOn w:val="Normal"/>
    <w:next w:val="Normal"/>
    <w:link w:val="Ttulo1Char"/>
    <w:uiPriority w:val="9"/>
    <w:qFormat/>
    <w:rsid w:val="000B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B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B2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B2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B2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B2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2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2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2D2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2D2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B2D2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B2D2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B2D2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B2D2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B2D2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2D2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2D2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2D24"/>
    <w:rPr>
      <w:rFonts w:eastAsiaTheme="majorEastAsia" w:cstheme="majorBidi"/>
      <w:color w:val="272727" w:themeColor="text1" w:themeTint="D8"/>
    </w:rPr>
  </w:style>
  <w:style w:type="paragraph" w:styleId="Ttulo">
    <w:name w:val="Title"/>
    <w:basedOn w:val="Normal"/>
    <w:next w:val="Normal"/>
    <w:link w:val="TtuloChar"/>
    <w:uiPriority w:val="10"/>
    <w:qFormat/>
    <w:rsid w:val="000B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2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2D2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2D2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2D24"/>
    <w:pPr>
      <w:spacing w:before="160"/>
      <w:jc w:val="center"/>
    </w:pPr>
    <w:rPr>
      <w:i/>
      <w:iCs/>
      <w:color w:val="404040" w:themeColor="text1" w:themeTint="BF"/>
    </w:rPr>
  </w:style>
  <w:style w:type="character" w:customStyle="1" w:styleId="CitaoChar">
    <w:name w:val="Citação Char"/>
    <w:basedOn w:val="Fontepargpadro"/>
    <w:link w:val="Citao"/>
    <w:uiPriority w:val="29"/>
    <w:rsid w:val="000B2D24"/>
    <w:rPr>
      <w:i/>
      <w:iCs/>
      <w:color w:val="404040" w:themeColor="text1" w:themeTint="BF"/>
    </w:rPr>
  </w:style>
  <w:style w:type="paragraph" w:styleId="PargrafodaLista">
    <w:name w:val="List Paragraph"/>
    <w:basedOn w:val="Normal"/>
    <w:uiPriority w:val="34"/>
    <w:qFormat/>
    <w:rsid w:val="000B2D24"/>
    <w:pPr>
      <w:ind w:left="720"/>
      <w:contextualSpacing/>
    </w:pPr>
  </w:style>
  <w:style w:type="character" w:styleId="nfaseIntensa">
    <w:name w:val="Intense Emphasis"/>
    <w:basedOn w:val="Fontepargpadro"/>
    <w:uiPriority w:val="21"/>
    <w:qFormat/>
    <w:rsid w:val="000B2D24"/>
    <w:rPr>
      <w:i/>
      <w:iCs/>
      <w:color w:val="0F4761" w:themeColor="accent1" w:themeShade="BF"/>
    </w:rPr>
  </w:style>
  <w:style w:type="paragraph" w:styleId="CitaoIntensa">
    <w:name w:val="Intense Quote"/>
    <w:basedOn w:val="Normal"/>
    <w:next w:val="Normal"/>
    <w:link w:val="CitaoIntensaChar"/>
    <w:uiPriority w:val="30"/>
    <w:qFormat/>
    <w:rsid w:val="000B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B2D24"/>
    <w:rPr>
      <w:i/>
      <w:iCs/>
      <w:color w:val="0F4761" w:themeColor="accent1" w:themeShade="BF"/>
    </w:rPr>
  </w:style>
  <w:style w:type="character" w:styleId="RefernciaIntensa">
    <w:name w:val="Intense Reference"/>
    <w:basedOn w:val="Fontepargpadro"/>
    <w:uiPriority w:val="32"/>
    <w:qFormat/>
    <w:rsid w:val="000B2D24"/>
    <w:rPr>
      <w:b/>
      <w:bCs/>
      <w:smallCaps/>
      <w:color w:val="0F4761" w:themeColor="accent1" w:themeShade="BF"/>
      <w:spacing w:val="5"/>
    </w:rPr>
  </w:style>
  <w:style w:type="paragraph" w:styleId="SemEspaamento">
    <w:name w:val="No Spacing"/>
    <w:uiPriority w:val="1"/>
    <w:qFormat/>
    <w:rsid w:val="000B2D24"/>
    <w:pPr>
      <w:spacing w:after="0" w:line="240" w:lineRule="auto"/>
    </w:pPr>
  </w:style>
  <w:style w:type="paragraph" w:styleId="Cabealho">
    <w:name w:val="header"/>
    <w:basedOn w:val="Normal"/>
    <w:link w:val="CabealhoChar"/>
    <w:uiPriority w:val="99"/>
    <w:unhideWhenUsed/>
    <w:rsid w:val="003A4E23"/>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3A4E23"/>
  </w:style>
  <w:style w:type="paragraph" w:styleId="Rodap">
    <w:name w:val="footer"/>
    <w:basedOn w:val="Normal"/>
    <w:link w:val="RodapChar"/>
    <w:uiPriority w:val="99"/>
    <w:unhideWhenUsed/>
    <w:rsid w:val="003A4E23"/>
    <w:pPr>
      <w:tabs>
        <w:tab w:val="center" w:pos="4419"/>
        <w:tab w:val="right" w:pos="8838"/>
      </w:tabs>
      <w:spacing w:after="0" w:line="240" w:lineRule="auto"/>
    </w:pPr>
  </w:style>
  <w:style w:type="character" w:customStyle="1" w:styleId="RodapChar">
    <w:name w:val="Rodapé Char"/>
    <w:basedOn w:val="Fontepargpadro"/>
    <w:link w:val="Rodap"/>
    <w:uiPriority w:val="99"/>
    <w:rsid w:val="003A4E23"/>
  </w:style>
  <w:style w:type="table" w:styleId="Tabelacomgrade">
    <w:name w:val="Table Grid"/>
    <w:basedOn w:val="Tabelanormal"/>
    <w:uiPriority w:val="59"/>
    <w:rsid w:val="00B9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94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F4B65"/>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Forte">
    <w:name w:val="Strong"/>
    <w:basedOn w:val="Fontepargpadro"/>
    <w:uiPriority w:val="22"/>
    <w:qFormat/>
    <w:rsid w:val="00FF4B65"/>
    <w:rPr>
      <w:b/>
      <w:bCs/>
    </w:rPr>
  </w:style>
  <w:style w:type="table" w:styleId="TabeladeGradeClara">
    <w:name w:val="Grid Table Light"/>
    <w:basedOn w:val="Tabelanormal"/>
    <w:uiPriority w:val="40"/>
    <w:rsid w:val="00E94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87C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34073">
      <w:bodyDiv w:val="1"/>
      <w:marLeft w:val="0"/>
      <w:marRight w:val="0"/>
      <w:marTop w:val="0"/>
      <w:marBottom w:val="0"/>
      <w:divBdr>
        <w:top w:val="none" w:sz="0" w:space="0" w:color="auto"/>
        <w:left w:val="none" w:sz="0" w:space="0" w:color="auto"/>
        <w:bottom w:val="none" w:sz="0" w:space="0" w:color="auto"/>
        <w:right w:val="none" w:sz="0" w:space="0" w:color="auto"/>
      </w:divBdr>
    </w:div>
    <w:div w:id="297344592">
      <w:bodyDiv w:val="1"/>
      <w:marLeft w:val="0"/>
      <w:marRight w:val="0"/>
      <w:marTop w:val="0"/>
      <w:marBottom w:val="0"/>
      <w:divBdr>
        <w:top w:val="none" w:sz="0" w:space="0" w:color="auto"/>
        <w:left w:val="none" w:sz="0" w:space="0" w:color="auto"/>
        <w:bottom w:val="none" w:sz="0" w:space="0" w:color="auto"/>
        <w:right w:val="none" w:sz="0" w:space="0" w:color="auto"/>
      </w:divBdr>
    </w:div>
    <w:div w:id="330570083">
      <w:bodyDiv w:val="1"/>
      <w:marLeft w:val="0"/>
      <w:marRight w:val="0"/>
      <w:marTop w:val="0"/>
      <w:marBottom w:val="0"/>
      <w:divBdr>
        <w:top w:val="none" w:sz="0" w:space="0" w:color="auto"/>
        <w:left w:val="none" w:sz="0" w:space="0" w:color="auto"/>
        <w:bottom w:val="none" w:sz="0" w:space="0" w:color="auto"/>
        <w:right w:val="none" w:sz="0" w:space="0" w:color="auto"/>
      </w:divBdr>
    </w:div>
    <w:div w:id="344989099">
      <w:bodyDiv w:val="1"/>
      <w:marLeft w:val="0"/>
      <w:marRight w:val="0"/>
      <w:marTop w:val="0"/>
      <w:marBottom w:val="0"/>
      <w:divBdr>
        <w:top w:val="none" w:sz="0" w:space="0" w:color="auto"/>
        <w:left w:val="none" w:sz="0" w:space="0" w:color="auto"/>
        <w:bottom w:val="none" w:sz="0" w:space="0" w:color="auto"/>
        <w:right w:val="none" w:sz="0" w:space="0" w:color="auto"/>
      </w:divBdr>
    </w:div>
    <w:div w:id="391393292">
      <w:bodyDiv w:val="1"/>
      <w:marLeft w:val="0"/>
      <w:marRight w:val="0"/>
      <w:marTop w:val="0"/>
      <w:marBottom w:val="0"/>
      <w:divBdr>
        <w:top w:val="none" w:sz="0" w:space="0" w:color="auto"/>
        <w:left w:val="none" w:sz="0" w:space="0" w:color="auto"/>
        <w:bottom w:val="none" w:sz="0" w:space="0" w:color="auto"/>
        <w:right w:val="none" w:sz="0" w:space="0" w:color="auto"/>
      </w:divBdr>
    </w:div>
    <w:div w:id="410733236">
      <w:bodyDiv w:val="1"/>
      <w:marLeft w:val="0"/>
      <w:marRight w:val="0"/>
      <w:marTop w:val="0"/>
      <w:marBottom w:val="0"/>
      <w:divBdr>
        <w:top w:val="none" w:sz="0" w:space="0" w:color="auto"/>
        <w:left w:val="none" w:sz="0" w:space="0" w:color="auto"/>
        <w:bottom w:val="none" w:sz="0" w:space="0" w:color="auto"/>
        <w:right w:val="none" w:sz="0" w:space="0" w:color="auto"/>
      </w:divBdr>
    </w:div>
    <w:div w:id="533690135">
      <w:bodyDiv w:val="1"/>
      <w:marLeft w:val="0"/>
      <w:marRight w:val="0"/>
      <w:marTop w:val="0"/>
      <w:marBottom w:val="0"/>
      <w:divBdr>
        <w:top w:val="none" w:sz="0" w:space="0" w:color="auto"/>
        <w:left w:val="none" w:sz="0" w:space="0" w:color="auto"/>
        <w:bottom w:val="none" w:sz="0" w:space="0" w:color="auto"/>
        <w:right w:val="none" w:sz="0" w:space="0" w:color="auto"/>
      </w:divBdr>
    </w:div>
    <w:div w:id="573586542">
      <w:bodyDiv w:val="1"/>
      <w:marLeft w:val="0"/>
      <w:marRight w:val="0"/>
      <w:marTop w:val="0"/>
      <w:marBottom w:val="0"/>
      <w:divBdr>
        <w:top w:val="none" w:sz="0" w:space="0" w:color="auto"/>
        <w:left w:val="none" w:sz="0" w:space="0" w:color="auto"/>
        <w:bottom w:val="none" w:sz="0" w:space="0" w:color="auto"/>
        <w:right w:val="none" w:sz="0" w:space="0" w:color="auto"/>
      </w:divBdr>
    </w:div>
    <w:div w:id="700669262">
      <w:bodyDiv w:val="1"/>
      <w:marLeft w:val="0"/>
      <w:marRight w:val="0"/>
      <w:marTop w:val="0"/>
      <w:marBottom w:val="0"/>
      <w:divBdr>
        <w:top w:val="none" w:sz="0" w:space="0" w:color="auto"/>
        <w:left w:val="none" w:sz="0" w:space="0" w:color="auto"/>
        <w:bottom w:val="none" w:sz="0" w:space="0" w:color="auto"/>
        <w:right w:val="none" w:sz="0" w:space="0" w:color="auto"/>
      </w:divBdr>
    </w:div>
    <w:div w:id="797143156">
      <w:bodyDiv w:val="1"/>
      <w:marLeft w:val="0"/>
      <w:marRight w:val="0"/>
      <w:marTop w:val="0"/>
      <w:marBottom w:val="0"/>
      <w:divBdr>
        <w:top w:val="none" w:sz="0" w:space="0" w:color="auto"/>
        <w:left w:val="none" w:sz="0" w:space="0" w:color="auto"/>
        <w:bottom w:val="none" w:sz="0" w:space="0" w:color="auto"/>
        <w:right w:val="none" w:sz="0" w:space="0" w:color="auto"/>
      </w:divBdr>
    </w:div>
    <w:div w:id="1048456440">
      <w:bodyDiv w:val="1"/>
      <w:marLeft w:val="0"/>
      <w:marRight w:val="0"/>
      <w:marTop w:val="0"/>
      <w:marBottom w:val="0"/>
      <w:divBdr>
        <w:top w:val="none" w:sz="0" w:space="0" w:color="auto"/>
        <w:left w:val="none" w:sz="0" w:space="0" w:color="auto"/>
        <w:bottom w:val="none" w:sz="0" w:space="0" w:color="auto"/>
        <w:right w:val="none" w:sz="0" w:space="0" w:color="auto"/>
      </w:divBdr>
    </w:div>
    <w:div w:id="1066487090">
      <w:bodyDiv w:val="1"/>
      <w:marLeft w:val="0"/>
      <w:marRight w:val="0"/>
      <w:marTop w:val="0"/>
      <w:marBottom w:val="0"/>
      <w:divBdr>
        <w:top w:val="none" w:sz="0" w:space="0" w:color="auto"/>
        <w:left w:val="none" w:sz="0" w:space="0" w:color="auto"/>
        <w:bottom w:val="none" w:sz="0" w:space="0" w:color="auto"/>
        <w:right w:val="none" w:sz="0" w:space="0" w:color="auto"/>
      </w:divBdr>
    </w:div>
    <w:div w:id="1090348699">
      <w:bodyDiv w:val="1"/>
      <w:marLeft w:val="0"/>
      <w:marRight w:val="0"/>
      <w:marTop w:val="0"/>
      <w:marBottom w:val="0"/>
      <w:divBdr>
        <w:top w:val="none" w:sz="0" w:space="0" w:color="auto"/>
        <w:left w:val="none" w:sz="0" w:space="0" w:color="auto"/>
        <w:bottom w:val="none" w:sz="0" w:space="0" w:color="auto"/>
        <w:right w:val="none" w:sz="0" w:space="0" w:color="auto"/>
      </w:divBdr>
    </w:div>
    <w:div w:id="1122190835">
      <w:bodyDiv w:val="1"/>
      <w:marLeft w:val="0"/>
      <w:marRight w:val="0"/>
      <w:marTop w:val="0"/>
      <w:marBottom w:val="0"/>
      <w:divBdr>
        <w:top w:val="none" w:sz="0" w:space="0" w:color="auto"/>
        <w:left w:val="none" w:sz="0" w:space="0" w:color="auto"/>
        <w:bottom w:val="none" w:sz="0" w:space="0" w:color="auto"/>
        <w:right w:val="none" w:sz="0" w:space="0" w:color="auto"/>
      </w:divBdr>
    </w:div>
    <w:div w:id="1347051102">
      <w:bodyDiv w:val="1"/>
      <w:marLeft w:val="0"/>
      <w:marRight w:val="0"/>
      <w:marTop w:val="0"/>
      <w:marBottom w:val="0"/>
      <w:divBdr>
        <w:top w:val="none" w:sz="0" w:space="0" w:color="auto"/>
        <w:left w:val="none" w:sz="0" w:space="0" w:color="auto"/>
        <w:bottom w:val="none" w:sz="0" w:space="0" w:color="auto"/>
        <w:right w:val="none" w:sz="0" w:space="0" w:color="auto"/>
      </w:divBdr>
    </w:div>
    <w:div w:id="1401710011">
      <w:bodyDiv w:val="1"/>
      <w:marLeft w:val="0"/>
      <w:marRight w:val="0"/>
      <w:marTop w:val="0"/>
      <w:marBottom w:val="0"/>
      <w:divBdr>
        <w:top w:val="none" w:sz="0" w:space="0" w:color="auto"/>
        <w:left w:val="none" w:sz="0" w:space="0" w:color="auto"/>
        <w:bottom w:val="none" w:sz="0" w:space="0" w:color="auto"/>
        <w:right w:val="none" w:sz="0" w:space="0" w:color="auto"/>
      </w:divBdr>
    </w:div>
    <w:div w:id="1446732084">
      <w:bodyDiv w:val="1"/>
      <w:marLeft w:val="0"/>
      <w:marRight w:val="0"/>
      <w:marTop w:val="0"/>
      <w:marBottom w:val="0"/>
      <w:divBdr>
        <w:top w:val="none" w:sz="0" w:space="0" w:color="auto"/>
        <w:left w:val="none" w:sz="0" w:space="0" w:color="auto"/>
        <w:bottom w:val="none" w:sz="0" w:space="0" w:color="auto"/>
        <w:right w:val="none" w:sz="0" w:space="0" w:color="auto"/>
      </w:divBdr>
    </w:div>
    <w:div w:id="1570537276">
      <w:bodyDiv w:val="1"/>
      <w:marLeft w:val="0"/>
      <w:marRight w:val="0"/>
      <w:marTop w:val="0"/>
      <w:marBottom w:val="0"/>
      <w:divBdr>
        <w:top w:val="none" w:sz="0" w:space="0" w:color="auto"/>
        <w:left w:val="none" w:sz="0" w:space="0" w:color="auto"/>
        <w:bottom w:val="none" w:sz="0" w:space="0" w:color="auto"/>
        <w:right w:val="none" w:sz="0" w:space="0" w:color="auto"/>
      </w:divBdr>
    </w:div>
    <w:div w:id="1718503281">
      <w:bodyDiv w:val="1"/>
      <w:marLeft w:val="0"/>
      <w:marRight w:val="0"/>
      <w:marTop w:val="0"/>
      <w:marBottom w:val="0"/>
      <w:divBdr>
        <w:top w:val="none" w:sz="0" w:space="0" w:color="auto"/>
        <w:left w:val="none" w:sz="0" w:space="0" w:color="auto"/>
        <w:bottom w:val="none" w:sz="0" w:space="0" w:color="auto"/>
        <w:right w:val="none" w:sz="0" w:space="0" w:color="auto"/>
      </w:divBdr>
    </w:div>
    <w:div w:id="1746687104">
      <w:bodyDiv w:val="1"/>
      <w:marLeft w:val="0"/>
      <w:marRight w:val="0"/>
      <w:marTop w:val="0"/>
      <w:marBottom w:val="0"/>
      <w:divBdr>
        <w:top w:val="none" w:sz="0" w:space="0" w:color="auto"/>
        <w:left w:val="none" w:sz="0" w:space="0" w:color="auto"/>
        <w:bottom w:val="none" w:sz="0" w:space="0" w:color="auto"/>
        <w:right w:val="none" w:sz="0" w:space="0" w:color="auto"/>
      </w:divBdr>
    </w:div>
    <w:div w:id="1969238386">
      <w:bodyDiv w:val="1"/>
      <w:marLeft w:val="0"/>
      <w:marRight w:val="0"/>
      <w:marTop w:val="0"/>
      <w:marBottom w:val="0"/>
      <w:divBdr>
        <w:top w:val="none" w:sz="0" w:space="0" w:color="auto"/>
        <w:left w:val="none" w:sz="0" w:space="0" w:color="auto"/>
        <w:bottom w:val="none" w:sz="0" w:space="0" w:color="auto"/>
        <w:right w:val="none" w:sz="0" w:space="0" w:color="auto"/>
      </w:divBdr>
    </w:div>
    <w:div w:id="20617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946</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 CONSULTORES</dc:creator>
  <cp:keywords/>
  <dc:description/>
  <cp:lastModifiedBy>user</cp:lastModifiedBy>
  <cp:revision>14</cp:revision>
  <cp:lastPrinted>2025-02-11T12:37:00Z</cp:lastPrinted>
  <dcterms:created xsi:type="dcterms:W3CDTF">2024-11-14T18:52:00Z</dcterms:created>
  <dcterms:modified xsi:type="dcterms:W3CDTF">2025-02-11T12:38:00Z</dcterms:modified>
</cp:coreProperties>
</file>