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449751531"/>
        <w:docPartObj>
          <w:docPartGallery w:val="Table of Contents"/>
          <w:docPartUnique/>
        </w:docPartObj>
      </w:sdtPr>
      <w:sdtContent>
        <w:p w14:paraId="05F4577B" w14:textId="77777777" w:rsidR="007978C6" w:rsidRDefault="007978C6" w:rsidP="007978C6">
          <w:pPr>
            <w:pStyle w:val="CabealhodoSumrio"/>
            <w:spacing w:line="360" w:lineRule="auto"/>
          </w:pPr>
          <w:r>
            <w:rPr>
              <w:lang w:val="es-MX"/>
            </w:rPr>
            <w:t>Contenido</w:t>
          </w:r>
        </w:p>
        <w:p w14:paraId="6CC32F52" w14:textId="71783AD5" w:rsidR="007A612B" w:rsidRPr="007A612B" w:rsidRDefault="007978C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7A612B">
            <w:fldChar w:fldCharType="begin"/>
          </w:r>
          <w:r w:rsidRPr="007A612B">
            <w:instrText xml:space="preserve"> TOC \o "1-3" \h \z \u </w:instrText>
          </w:r>
          <w:r w:rsidRPr="007A612B">
            <w:fldChar w:fldCharType="separate"/>
          </w:r>
          <w:hyperlink w:anchor="_Toc188967437" w:history="1">
            <w:r w:rsidR="007A612B"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1. Objetivo</w:t>
            </w:r>
            <w:r w:rsidR="007A612B" w:rsidRPr="007A612B">
              <w:rPr>
                <w:noProof/>
                <w:webHidden/>
              </w:rPr>
              <w:tab/>
            </w:r>
            <w:r w:rsidR="007A612B" w:rsidRPr="007A612B">
              <w:rPr>
                <w:noProof/>
                <w:webHidden/>
              </w:rPr>
              <w:fldChar w:fldCharType="begin"/>
            </w:r>
            <w:r w:rsidR="007A612B" w:rsidRPr="007A612B">
              <w:rPr>
                <w:noProof/>
                <w:webHidden/>
              </w:rPr>
              <w:instrText xml:space="preserve"> PAGEREF _Toc188967437 \h </w:instrText>
            </w:r>
            <w:r w:rsidR="007A612B" w:rsidRPr="007A612B">
              <w:rPr>
                <w:noProof/>
                <w:webHidden/>
              </w:rPr>
            </w:r>
            <w:r w:rsidR="007A612B"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2</w:t>
            </w:r>
            <w:r w:rsidR="007A612B" w:rsidRPr="007A612B">
              <w:rPr>
                <w:noProof/>
                <w:webHidden/>
              </w:rPr>
              <w:fldChar w:fldCharType="end"/>
            </w:r>
          </w:hyperlink>
        </w:p>
        <w:p w14:paraId="16FB6131" w14:textId="6BECAADD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38" w:history="1">
            <w:r w:rsidRPr="007A612B">
              <w:rPr>
                <w:rStyle w:val="Hyperlink"/>
                <w:rFonts w:eastAsia="Times New Roman"/>
                <w:noProof/>
                <w:lang w:val="es-ES" w:eastAsia="es-ES"/>
              </w:rPr>
              <w:t>2. Alcance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_Toc188967438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4CC46C7" w14:textId="202F0728" w:rsidR="007A612B" w:rsidRPr="007A612B" w:rsidRDefault="007A612B" w:rsidP="007A612B">
          <w:pPr>
            <w:pStyle w:val="Sumrio3"/>
            <w:rPr>
              <w:rFonts w:eastAsiaTheme="minorEastAsia"/>
              <w:b w:val="0"/>
              <w:bCs w:val="0"/>
            </w:rPr>
          </w:pPr>
          <w:hyperlink w:anchor="_Toc188967439" w:history="1">
            <w:r w:rsidRPr="007A612B">
              <w:rPr>
                <w:rStyle w:val="Hyperlink"/>
                <w:b w:val="0"/>
                <w:bCs w:val="0"/>
              </w:rPr>
              <w:t>3. Responsabilidades</w:t>
            </w:r>
            <w:r w:rsidRPr="007A612B">
              <w:rPr>
                <w:b w:val="0"/>
                <w:bCs w:val="0"/>
                <w:webHidden/>
              </w:rPr>
              <w:tab/>
            </w:r>
            <w:r w:rsidRPr="007A612B">
              <w:rPr>
                <w:b w:val="0"/>
                <w:bCs w:val="0"/>
                <w:webHidden/>
              </w:rPr>
              <w:fldChar w:fldCharType="begin"/>
            </w:r>
            <w:r w:rsidRPr="007A612B">
              <w:rPr>
                <w:b w:val="0"/>
                <w:bCs w:val="0"/>
                <w:webHidden/>
              </w:rPr>
              <w:instrText xml:space="preserve"> PAGEREF _Toc188967439 \h </w:instrText>
            </w:r>
            <w:r w:rsidRPr="007A612B">
              <w:rPr>
                <w:b w:val="0"/>
                <w:bCs w:val="0"/>
                <w:webHidden/>
              </w:rPr>
            </w:r>
            <w:r w:rsidRPr="007A612B">
              <w:rPr>
                <w:b w:val="0"/>
                <w:bCs w:val="0"/>
                <w:webHidden/>
              </w:rPr>
              <w:fldChar w:fldCharType="separate"/>
            </w:r>
            <w:r w:rsidR="00233C71">
              <w:rPr>
                <w:b w:val="0"/>
                <w:bCs w:val="0"/>
                <w:webHidden/>
              </w:rPr>
              <w:t>2</w:t>
            </w:r>
            <w:r w:rsidRPr="007A612B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C4200D" w14:textId="6F1BB339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0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4. Definiciones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_Toc188967440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5E0E71CE" w14:textId="5CF8DC58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1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5. Procedimiento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_Toc188967441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6B30D901" w14:textId="319F1727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2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6. Registros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_Toc188967442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C01EE27" w14:textId="491103F1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3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7. Documentos Relacionados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_Toc188967443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011A3280" w14:textId="6D7AA8F8" w:rsidR="007A612B" w:rsidRPr="007A612B" w:rsidRDefault="007A6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4" w:history="1">
            <w:r w:rsidRPr="007A612B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_Toc188967444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233C71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45BEC04" w14:textId="6510144A" w:rsidR="007978C6" w:rsidRPr="007A612B" w:rsidRDefault="007978C6" w:rsidP="007978C6">
          <w:pPr>
            <w:spacing w:line="360" w:lineRule="auto"/>
          </w:pPr>
          <w:r w:rsidRPr="007A612B">
            <w:rPr>
              <w:lang w:val="es-MX"/>
            </w:rPr>
            <w:fldChar w:fldCharType="end"/>
          </w:r>
        </w:p>
      </w:sdtContent>
    </w:sdt>
    <w:p w14:paraId="157A35E4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390D001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88BAD87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E4BEB9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2ECF2E6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5C5A9F6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43EAE04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5C4C79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38EE2C9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10F3F5A3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5D43E7BC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FB44A7C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1F7F1A75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CAE195D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F87FC9F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01FC7C88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A565EA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D899CB5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33A5D79A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2EBF0214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0A97228B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0" w:name="_Toc188967437"/>
      <w:r w:rsidRPr="003568F7">
        <w:rPr>
          <w:rFonts w:ascii="Aptos corp" w:eastAsia="Times New Roman" w:hAnsi="Aptos corp"/>
          <w:lang w:val="es-ES" w:eastAsia="es-ES"/>
        </w:rPr>
        <w:lastRenderedPageBreak/>
        <w:t>1. Objetivo</w:t>
      </w:r>
      <w:bookmarkEnd w:id="0"/>
    </w:p>
    <w:p w14:paraId="6314F334" w14:textId="77777777" w:rsidR="003568F7" w:rsidRPr="003568F7" w:rsidRDefault="003568F7" w:rsidP="00301BEE">
      <w:p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Establecer las pautas para asegurar el compromiso de la alta dirección con el Sistema de Gestión de la Calidad (SGC), promoviendo la mejora continua, el cumplimiento de los objetivos estratégicos y la satisfacción de las partes interesadas, conforme a las normas aplicables.</w:t>
      </w:r>
    </w:p>
    <w:p w14:paraId="35C30163" w14:textId="77777777" w:rsidR="003568F7" w:rsidRPr="003568F7" w:rsidRDefault="003568F7" w:rsidP="0058532B">
      <w:pPr>
        <w:pStyle w:val="Ttulo1"/>
        <w:spacing w:before="0" w:after="0" w:line="276" w:lineRule="auto"/>
        <w:rPr>
          <w:rFonts w:eastAsia="Times New Roman"/>
          <w:lang w:val="es-ES" w:eastAsia="es-ES"/>
        </w:rPr>
      </w:pPr>
      <w:bookmarkStart w:id="1" w:name="_Toc188967438"/>
      <w:r w:rsidRPr="003568F7">
        <w:rPr>
          <w:rFonts w:eastAsia="Times New Roman"/>
          <w:lang w:val="es-ES" w:eastAsia="es-ES"/>
        </w:rPr>
        <w:t>2. Alcance</w:t>
      </w:r>
      <w:bookmarkEnd w:id="1"/>
    </w:p>
    <w:p w14:paraId="1518F13C" w14:textId="77777777" w:rsidR="003568F7" w:rsidRPr="003568F7" w:rsidRDefault="003568F7" w:rsidP="00301BEE">
      <w:p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Este procedimiento es aplicable a todas las actividades relacionadas con el liderazgo, la planificación, la revisión por la dirección y la toma de decisiones estratégicas en el marco del SGC.</w:t>
      </w:r>
    </w:p>
    <w:p w14:paraId="78EB3C19" w14:textId="77777777" w:rsidR="003568F7" w:rsidRPr="003568F7" w:rsidRDefault="003568F7" w:rsidP="0058532B">
      <w:pPr>
        <w:spacing w:after="0" w:line="276" w:lineRule="auto"/>
        <w:outlineLvl w:val="2"/>
        <w:rPr>
          <w:rFonts w:ascii="Aptos corp" w:eastAsia="Times New Roman" w:hAnsi="Aptos corp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bookmarkStart w:id="2" w:name="_Toc188967439"/>
      <w:r w:rsidRPr="003568F7">
        <w:rPr>
          <w:rFonts w:ascii="Aptos corp" w:eastAsia="Times New Roman" w:hAnsi="Aptos corp" w:cs="Times New Roman"/>
          <w:b/>
          <w:bCs/>
          <w:kern w:val="0"/>
          <w:sz w:val="27"/>
          <w:szCs w:val="27"/>
          <w:lang w:val="es-ES" w:eastAsia="es-ES"/>
          <w14:ligatures w14:val="none"/>
        </w:rPr>
        <w:t>3. Responsabilidades</w:t>
      </w:r>
      <w:bookmarkEnd w:id="2"/>
    </w:p>
    <w:p w14:paraId="736D78D9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Alta Dirección:</w:t>
      </w:r>
    </w:p>
    <w:p w14:paraId="49C22115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Liderar y garantizar la implementación efectiva del SGC.</w:t>
      </w:r>
    </w:p>
    <w:p w14:paraId="377BED09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Proveer los recursos necesarios para el cumplimiento de los objetivos.</w:t>
      </w:r>
    </w:p>
    <w:p w14:paraId="284133E9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Aprobar y participar en las revisiones por la dirección.</w:t>
      </w:r>
    </w:p>
    <w:p w14:paraId="6871299D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Responsable del SGC:</w:t>
      </w:r>
    </w:p>
    <w:p w14:paraId="5856602C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Coordinar la recopilación de datos y facilitar las revisiones.</w:t>
      </w:r>
    </w:p>
    <w:p w14:paraId="04B466A8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Supervisar la implementación de acciones derivadas de las revisiones.</w:t>
      </w:r>
    </w:p>
    <w:p w14:paraId="17D2F960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Jefaturas de Área:</w:t>
      </w:r>
    </w:p>
    <w:p w14:paraId="13B59026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Proveer información clave sobre el desempeño del SGC.</w:t>
      </w:r>
    </w:p>
    <w:p w14:paraId="3767C517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Implementar acciones de mejora asignadas.</w:t>
      </w:r>
    </w:p>
    <w:p w14:paraId="2300E18B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3" w:name="_Toc188967440"/>
      <w:r w:rsidRPr="003568F7">
        <w:rPr>
          <w:rFonts w:ascii="Aptos corp" w:eastAsia="Times New Roman" w:hAnsi="Aptos corp"/>
          <w:lang w:val="es-ES" w:eastAsia="es-ES"/>
        </w:rPr>
        <w:t>4. Definiciones</w:t>
      </w:r>
      <w:bookmarkEnd w:id="3"/>
    </w:p>
    <w:p w14:paraId="73D95155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Revisión por la Dirección: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Evaluación periódica y sistemática del desempeño del SGC para garantizar su eficacia y alineación con los objetivos organizacionales.</w:t>
      </w:r>
    </w:p>
    <w:p w14:paraId="731220CA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Objetivos de Calidad: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Metas específicas, medibles, alcanzables, relevantes y limitadas en el tiempo, definidas para cumplir con la Política de Calidad.</w:t>
      </w:r>
    </w:p>
    <w:p w14:paraId="1980C96A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Acción de Mejora: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Actividad diseñada para optimizar procesos, corregir no conformidades y prevenir su recurrencia.</w:t>
      </w:r>
    </w:p>
    <w:p w14:paraId="7CBBADDD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4" w:name="_Toc188967441"/>
      <w:r w:rsidRPr="003568F7">
        <w:rPr>
          <w:rFonts w:ascii="Aptos corp" w:eastAsia="Times New Roman" w:hAnsi="Aptos corp"/>
          <w:lang w:val="es-ES" w:eastAsia="es-ES"/>
        </w:rPr>
        <w:t>5. Procedimiento</w:t>
      </w:r>
      <w:bookmarkEnd w:id="4"/>
    </w:p>
    <w:p w14:paraId="4709E6A1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5.1. Compromiso del Liderazgo</w:t>
      </w:r>
    </w:p>
    <w:p w14:paraId="61E18554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Definición de la Dirección Estratégica:</w:t>
      </w:r>
    </w:p>
    <w:p w14:paraId="23C4D55D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Establecer y comunicar la Política de Calidad y los Objetivos de Calidad.</w:t>
      </w:r>
    </w:p>
    <w:p w14:paraId="513A0F33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Asegurar la alineación del SGC con la estrategia organizacional.</w:t>
      </w:r>
    </w:p>
    <w:p w14:paraId="3B65FD21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Provisión de Recursos:</w:t>
      </w:r>
    </w:p>
    <w:p w14:paraId="52ACC084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Determinar y garantizar los recursos necesarios para alcanzar los objetivos establecidos.</w:t>
      </w:r>
    </w:p>
    <w:p w14:paraId="48626683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Comunicación Interna:</w:t>
      </w:r>
    </w:p>
    <w:p w14:paraId="02039246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Promover la importancia del SGC en todos los niveles de la organización.</w:t>
      </w:r>
    </w:p>
    <w:p w14:paraId="5E0F435F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5.2. Revisión por la Dirección</w:t>
      </w:r>
    </w:p>
    <w:p w14:paraId="0A987958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Frecuencia:</w:t>
      </w:r>
    </w:p>
    <w:p w14:paraId="1673E9AE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lastRenderedPageBreak/>
        <w:t>Realizar la revisión por la dirección al menos una vez al año o cuando se presenten cambios significativos en el contexto interno o externo.</w:t>
      </w:r>
    </w:p>
    <w:p w14:paraId="77D88156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Preparación:</w:t>
      </w:r>
    </w:p>
    <w:p w14:paraId="47E6CB3C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El </w:t>
      </w:r>
      <w:proofErr w:type="gramStart"/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Responsable</w:t>
      </w:r>
      <w:proofErr w:type="gramEnd"/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del SGC recopilará información relevante, incluyendo:</w:t>
      </w:r>
    </w:p>
    <w:p w14:paraId="7C0F9489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auditorías.</w:t>
      </w:r>
    </w:p>
    <w:p w14:paraId="7CC24081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Cumplimiento de objetivos.</w:t>
      </w:r>
    </w:p>
    <w:p w14:paraId="43319511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Desempeño de los procesos.</w:t>
      </w:r>
    </w:p>
    <w:p w14:paraId="60307EEC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Identificación de riesgos y oportunidades.</w:t>
      </w:r>
    </w:p>
    <w:p w14:paraId="3F820418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proofErr w:type="gramStart"/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Temas a Revisar</w:t>
      </w:r>
      <w:proofErr w:type="gramEnd"/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:</w:t>
      </w:r>
    </w:p>
    <w:p w14:paraId="79E3D6D2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auditorías internas y externas.</w:t>
      </w:r>
    </w:p>
    <w:p w14:paraId="34B528C8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Desempeño de los procesos frente a los objetivos establecidos.</w:t>
      </w:r>
    </w:p>
    <w:p w14:paraId="24EA491D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Cambios en las necesidades y expectativas de las partes interesadas.</w:t>
      </w:r>
    </w:p>
    <w:p w14:paraId="4B03A9D0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Revisión de acciones correctivas y preventivas.</w:t>
      </w:r>
    </w:p>
    <w:p w14:paraId="669666F4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Registro de la Revisión:</w:t>
      </w:r>
    </w:p>
    <w:p w14:paraId="32F8890A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Generar un informe que documente:</w:t>
      </w:r>
    </w:p>
    <w:p w14:paraId="03AE1BC7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la revisión.</w:t>
      </w:r>
    </w:p>
    <w:p w14:paraId="496C5E49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Decisiones tomadas.</w:t>
      </w:r>
    </w:p>
    <w:p w14:paraId="5D69EAD0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Acciones asignadas con responsables y plazos.</w:t>
      </w:r>
    </w:p>
    <w:p w14:paraId="436214AA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5.3. Implementación de Acciones</w:t>
      </w:r>
    </w:p>
    <w:p w14:paraId="24BF9533" w14:textId="77777777" w:rsidR="003568F7" w:rsidRPr="003568F7" w:rsidRDefault="003568F7" w:rsidP="0058532B">
      <w:pPr>
        <w:numPr>
          <w:ilvl w:val="0"/>
          <w:numId w:val="12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Las acciones identificadas durante la revisión serán asignadas a los responsables correspondientes, quienes reportarán su avance en los plazos establecidos.</w:t>
      </w:r>
    </w:p>
    <w:p w14:paraId="64CB9E64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5" w:name="_Toc188967442"/>
      <w:r w:rsidRPr="003568F7">
        <w:rPr>
          <w:rFonts w:ascii="Aptos corp" w:eastAsia="Times New Roman" w:hAnsi="Aptos corp"/>
          <w:lang w:val="es-ES" w:eastAsia="es-ES"/>
        </w:rPr>
        <w:t>6. Registros</w:t>
      </w:r>
      <w:bookmarkEnd w:id="5"/>
    </w:p>
    <w:p w14:paraId="72884C80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Informe de Revisión por la Dirección.</w:t>
      </w:r>
    </w:p>
    <w:p w14:paraId="71EBB319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Registro de Objetivos de Calidad y su seguimiento.</w:t>
      </w:r>
    </w:p>
    <w:p w14:paraId="7A42B5CC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Listado de recursos asignados y su estado.</w:t>
      </w:r>
    </w:p>
    <w:p w14:paraId="6C454CB7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6" w:name="_Toc188967443"/>
      <w:r w:rsidRPr="003568F7">
        <w:rPr>
          <w:rFonts w:ascii="Aptos corp" w:eastAsia="Times New Roman" w:hAnsi="Aptos corp"/>
          <w:lang w:val="es-ES" w:eastAsia="es-ES"/>
        </w:rPr>
        <w:t>7. Documentos Relacionados</w:t>
      </w:r>
      <w:bookmarkEnd w:id="6"/>
    </w:p>
    <w:p w14:paraId="399D0131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Política de Calidad.</w:t>
      </w:r>
    </w:p>
    <w:p w14:paraId="57438041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Procedimiento de Auditorías Internas.</w:t>
      </w:r>
    </w:p>
    <w:p w14:paraId="539C1414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Análisis de Riesgos y Oportunidades.</w:t>
      </w:r>
    </w:p>
    <w:p w14:paraId="25BB34A2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Registro de Objetivos de Calidad.</w:t>
      </w:r>
    </w:p>
    <w:p w14:paraId="387D295A" w14:textId="77777777" w:rsidR="002A6E48" w:rsidRPr="00AD3903" w:rsidRDefault="002A6E48" w:rsidP="0058532B">
      <w:pPr>
        <w:pStyle w:val="SemEspaamento"/>
        <w:rPr>
          <w:rFonts w:ascii="Aptos Corpo" w:hAnsi="Aptos Corpo"/>
          <w:lang w:val="es-419"/>
        </w:rPr>
      </w:pPr>
    </w:p>
    <w:p w14:paraId="03BEC261" w14:textId="1C7547ED" w:rsidR="00B945EC" w:rsidRPr="00AD3903" w:rsidRDefault="00424DF5" w:rsidP="0058532B">
      <w:pPr>
        <w:pStyle w:val="Ttulo2"/>
        <w:spacing w:before="0" w:after="0"/>
        <w:rPr>
          <w:rFonts w:ascii="Aptos Corpo" w:hAnsi="Aptos Corpo"/>
          <w:lang w:val="es-419"/>
        </w:rPr>
      </w:pPr>
      <w:bookmarkStart w:id="7" w:name="_Toc183094662"/>
      <w:bookmarkStart w:id="8" w:name="_Toc188967444"/>
      <w:r>
        <w:rPr>
          <w:rFonts w:ascii="Aptos Corpo" w:hAnsi="Aptos Corpo"/>
          <w:lang w:val="es-419"/>
        </w:rPr>
        <w:t>8</w:t>
      </w:r>
      <w:r w:rsidR="001C3588" w:rsidRPr="00AD3903">
        <w:rPr>
          <w:rFonts w:ascii="Aptos Corpo" w:hAnsi="Aptos Corpo"/>
          <w:lang w:val="es-419"/>
        </w:rPr>
        <w:t xml:space="preserve">.- </w:t>
      </w:r>
      <w:r w:rsidR="00B945EC" w:rsidRPr="00AD3903">
        <w:rPr>
          <w:rFonts w:ascii="Aptos Corpo" w:hAnsi="Aptos Corpo"/>
          <w:lang w:val="es-419"/>
        </w:rPr>
        <w:t>Historial de Versiones</w:t>
      </w:r>
      <w:bookmarkEnd w:id="7"/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AD3903" w:rsidRDefault="00992657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30</w:t>
            </w:r>
            <w:r w:rsidR="00B945EC" w:rsidRPr="00AD3903">
              <w:rPr>
                <w:rFonts w:ascii="Aptos Corpo" w:hAnsi="Aptos Corpo"/>
                <w:lang w:val="es-419"/>
              </w:rPr>
              <w:t>.0</w:t>
            </w:r>
            <w:r w:rsidRPr="00AD3903">
              <w:rPr>
                <w:rFonts w:ascii="Aptos Corpo" w:hAnsi="Aptos Corpo"/>
                <w:lang w:val="es-419"/>
              </w:rPr>
              <w:t>1</w:t>
            </w:r>
            <w:r w:rsidR="00B945EC" w:rsidRPr="00AD390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52DC5" w14:textId="77777777" w:rsidR="00F27968" w:rsidRDefault="00F27968" w:rsidP="003A4E23">
      <w:pPr>
        <w:spacing w:after="0" w:line="240" w:lineRule="auto"/>
      </w:pPr>
      <w:r>
        <w:separator/>
      </w:r>
    </w:p>
  </w:endnote>
  <w:endnote w:type="continuationSeparator" w:id="0">
    <w:p w14:paraId="00557447" w14:textId="77777777" w:rsidR="00F27968" w:rsidRDefault="00F27968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">
    <w:altName w:val="Calibri"/>
    <w:panose1 w:val="00000000000000000000"/>
    <w:charset w:val="00"/>
    <w:family w:val="roman"/>
    <w:notTrueType/>
    <w:pitch w:val="default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7FA2D" w14:textId="77777777" w:rsidR="00B325CD" w:rsidRDefault="00B325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5230" w14:textId="77777777" w:rsidR="00B325CD" w:rsidRDefault="00B325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C0B46" w14:textId="77777777" w:rsidR="00B325CD" w:rsidRDefault="00B325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36B5E" w14:textId="77777777" w:rsidR="00F27968" w:rsidRDefault="00F27968" w:rsidP="003A4E23">
      <w:pPr>
        <w:spacing w:after="0" w:line="240" w:lineRule="auto"/>
      </w:pPr>
      <w:r>
        <w:separator/>
      </w:r>
    </w:p>
  </w:footnote>
  <w:footnote w:type="continuationSeparator" w:id="0">
    <w:p w14:paraId="7B51E688" w14:textId="77777777" w:rsidR="00F27968" w:rsidRDefault="00F27968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F4B6" w14:textId="77777777" w:rsidR="00B325CD" w:rsidRDefault="00B325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2244CC9" w:rsidR="00B945EC" w:rsidRDefault="00233C7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E5CE66" wp14:editId="51D51EE4">
                <wp:simplePos x="0" y="0"/>
                <wp:positionH relativeFrom="column">
                  <wp:posOffset>-71755</wp:posOffset>
                </wp:positionH>
                <wp:positionV relativeFrom="paragraph">
                  <wp:posOffset>-655955</wp:posOffset>
                </wp:positionV>
                <wp:extent cx="1790700" cy="1790700"/>
                <wp:effectExtent l="0" t="0" r="0" b="0"/>
                <wp:wrapNone/>
                <wp:docPr id="39219519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3E794CE" w:rsidR="00B945EC" w:rsidRPr="00B945EC" w:rsidRDefault="00233C71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233C71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233C71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7978C6" w14:paraId="28EA7F2E" w14:textId="77777777" w:rsidTr="00B945EC">
      <w:tc>
        <w:tcPr>
          <w:tcW w:w="2942" w:type="dxa"/>
          <w:vMerge/>
        </w:tcPr>
        <w:p w14:paraId="6E0ABE15" w14:textId="77777777" w:rsidR="007978C6" w:rsidRDefault="007978C6" w:rsidP="007978C6">
          <w:pPr>
            <w:pStyle w:val="Cabealho"/>
          </w:pPr>
        </w:p>
      </w:tc>
      <w:tc>
        <w:tcPr>
          <w:tcW w:w="5603" w:type="dxa"/>
        </w:tcPr>
        <w:p w14:paraId="2D2B2398" w14:textId="2DB206AF" w:rsidR="007978C6" w:rsidRPr="003E6E28" w:rsidRDefault="007978C6" w:rsidP="007978C6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013</w:t>
          </w:r>
          <w:proofErr w:type="gramEnd"/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Gestión del Liderazgo y Rev. Por la Dirección</w:t>
          </w:r>
        </w:p>
      </w:tc>
      <w:tc>
        <w:tcPr>
          <w:tcW w:w="1980" w:type="dxa"/>
        </w:tcPr>
        <w:p w14:paraId="6B0138BC" w14:textId="31F0A5DF" w:rsidR="007978C6" w:rsidRPr="00B945EC" w:rsidRDefault="007978C6" w:rsidP="007978C6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921BF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9921BF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0477239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B325CD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54423F5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C51E1" w14:textId="77777777" w:rsidR="00B325CD" w:rsidRDefault="00B325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AEB"/>
    <w:multiLevelType w:val="multilevel"/>
    <w:tmpl w:val="796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31F91"/>
    <w:multiLevelType w:val="multilevel"/>
    <w:tmpl w:val="5C2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6F72"/>
    <w:multiLevelType w:val="multilevel"/>
    <w:tmpl w:val="963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2B57"/>
    <w:multiLevelType w:val="multilevel"/>
    <w:tmpl w:val="E32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7466"/>
    <w:multiLevelType w:val="multilevel"/>
    <w:tmpl w:val="5A8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663A"/>
    <w:multiLevelType w:val="multilevel"/>
    <w:tmpl w:val="339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E149A"/>
    <w:multiLevelType w:val="multilevel"/>
    <w:tmpl w:val="0AC4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300CA"/>
    <w:multiLevelType w:val="multilevel"/>
    <w:tmpl w:val="06B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41585"/>
    <w:multiLevelType w:val="multilevel"/>
    <w:tmpl w:val="9E5C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F166A"/>
    <w:multiLevelType w:val="multilevel"/>
    <w:tmpl w:val="0C1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6441C"/>
    <w:multiLevelType w:val="multilevel"/>
    <w:tmpl w:val="63E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272A7"/>
    <w:multiLevelType w:val="multilevel"/>
    <w:tmpl w:val="7B3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C6AF5"/>
    <w:multiLevelType w:val="multilevel"/>
    <w:tmpl w:val="064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25D81"/>
    <w:multiLevelType w:val="multilevel"/>
    <w:tmpl w:val="EAE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9580">
    <w:abstractNumId w:val="1"/>
  </w:num>
  <w:num w:numId="2" w16cid:durableId="18552553">
    <w:abstractNumId w:val="4"/>
  </w:num>
  <w:num w:numId="3" w16cid:durableId="369301865">
    <w:abstractNumId w:val="6"/>
  </w:num>
  <w:num w:numId="4" w16cid:durableId="566186865">
    <w:abstractNumId w:val="2"/>
  </w:num>
  <w:num w:numId="5" w16cid:durableId="441152792">
    <w:abstractNumId w:val="11"/>
  </w:num>
  <w:num w:numId="6" w16cid:durableId="508105521">
    <w:abstractNumId w:val="13"/>
  </w:num>
  <w:num w:numId="7" w16cid:durableId="1796018917">
    <w:abstractNumId w:val="10"/>
  </w:num>
  <w:num w:numId="8" w16cid:durableId="1176533627">
    <w:abstractNumId w:val="5"/>
  </w:num>
  <w:num w:numId="9" w16cid:durableId="435104491">
    <w:abstractNumId w:val="3"/>
  </w:num>
  <w:num w:numId="10" w16cid:durableId="796223357">
    <w:abstractNumId w:val="8"/>
  </w:num>
  <w:num w:numId="11" w16cid:durableId="1824855724">
    <w:abstractNumId w:val="0"/>
  </w:num>
  <w:num w:numId="12" w16cid:durableId="1274635987">
    <w:abstractNumId w:val="9"/>
  </w:num>
  <w:num w:numId="13" w16cid:durableId="2037926323">
    <w:abstractNumId w:val="12"/>
  </w:num>
  <w:num w:numId="14" w16cid:durableId="18428898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33C71"/>
    <w:rsid w:val="002349D4"/>
    <w:rsid w:val="002512D4"/>
    <w:rsid w:val="002562E5"/>
    <w:rsid w:val="002736C6"/>
    <w:rsid w:val="00296E48"/>
    <w:rsid w:val="002A0FCD"/>
    <w:rsid w:val="002A354E"/>
    <w:rsid w:val="002A4978"/>
    <w:rsid w:val="002A6E48"/>
    <w:rsid w:val="002B7C79"/>
    <w:rsid w:val="002C1E8D"/>
    <w:rsid w:val="002C487D"/>
    <w:rsid w:val="002C5F86"/>
    <w:rsid w:val="002E2D71"/>
    <w:rsid w:val="002F7E6F"/>
    <w:rsid w:val="00301BEE"/>
    <w:rsid w:val="00344060"/>
    <w:rsid w:val="00353702"/>
    <w:rsid w:val="003567DA"/>
    <w:rsid w:val="003568F7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424DF5"/>
    <w:rsid w:val="00442E9C"/>
    <w:rsid w:val="00513FD7"/>
    <w:rsid w:val="00523913"/>
    <w:rsid w:val="00523F7B"/>
    <w:rsid w:val="00535B01"/>
    <w:rsid w:val="00582831"/>
    <w:rsid w:val="0058532B"/>
    <w:rsid w:val="005A13D5"/>
    <w:rsid w:val="005A19C6"/>
    <w:rsid w:val="005A2B1D"/>
    <w:rsid w:val="005A6B85"/>
    <w:rsid w:val="005B4161"/>
    <w:rsid w:val="005C081F"/>
    <w:rsid w:val="005C6137"/>
    <w:rsid w:val="00616B89"/>
    <w:rsid w:val="00630280"/>
    <w:rsid w:val="00643AB1"/>
    <w:rsid w:val="0065226B"/>
    <w:rsid w:val="00675CC3"/>
    <w:rsid w:val="0069769B"/>
    <w:rsid w:val="006B0721"/>
    <w:rsid w:val="006B2835"/>
    <w:rsid w:val="006B4DFE"/>
    <w:rsid w:val="0072198F"/>
    <w:rsid w:val="00740565"/>
    <w:rsid w:val="00780186"/>
    <w:rsid w:val="007978C6"/>
    <w:rsid w:val="007A612B"/>
    <w:rsid w:val="007F292E"/>
    <w:rsid w:val="007F4682"/>
    <w:rsid w:val="0080688D"/>
    <w:rsid w:val="00807DA6"/>
    <w:rsid w:val="00834294"/>
    <w:rsid w:val="00861D26"/>
    <w:rsid w:val="0088570C"/>
    <w:rsid w:val="00893EDB"/>
    <w:rsid w:val="008C436E"/>
    <w:rsid w:val="008E045B"/>
    <w:rsid w:val="008E69E8"/>
    <w:rsid w:val="008E7B9E"/>
    <w:rsid w:val="00941EB4"/>
    <w:rsid w:val="0094705C"/>
    <w:rsid w:val="00957383"/>
    <w:rsid w:val="009833C3"/>
    <w:rsid w:val="009921BF"/>
    <w:rsid w:val="00992657"/>
    <w:rsid w:val="009A3D59"/>
    <w:rsid w:val="009B54D4"/>
    <w:rsid w:val="009D0729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C6757"/>
    <w:rsid w:val="00AD3903"/>
    <w:rsid w:val="00AF6E33"/>
    <w:rsid w:val="00AF73D9"/>
    <w:rsid w:val="00B325CD"/>
    <w:rsid w:val="00B41694"/>
    <w:rsid w:val="00B56161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427B"/>
    <w:rsid w:val="00DB6CAB"/>
    <w:rsid w:val="00DD3B8C"/>
    <w:rsid w:val="00DF0051"/>
    <w:rsid w:val="00E10B07"/>
    <w:rsid w:val="00E21AC9"/>
    <w:rsid w:val="00E3187E"/>
    <w:rsid w:val="00E3789B"/>
    <w:rsid w:val="00E63153"/>
    <w:rsid w:val="00E81D12"/>
    <w:rsid w:val="00E949B9"/>
    <w:rsid w:val="00EA3245"/>
    <w:rsid w:val="00EA6F0A"/>
    <w:rsid w:val="00EB3DBA"/>
    <w:rsid w:val="00EB54DD"/>
    <w:rsid w:val="00EE0066"/>
    <w:rsid w:val="00EE7A85"/>
    <w:rsid w:val="00EF5B43"/>
    <w:rsid w:val="00F27968"/>
    <w:rsid w:val="00F35BF9"/>
    <w:rsid w:val="00F64BEC"/>
    <w:rsid w:val="00F74C18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A612B"/>
    <w:pPr>
      <w:tabs>
        <w:tab w:val="right" w:leader="dot" w:pos="10456"/>
      </w:tabs>
      <w:spacing w:after="100"/>
    </w:pPr>
    <w:rPr>
      <w:rFonts w:ascii="Aptos corp" w:eastAsia="Times New Roman" w:hAnsi="Aptos corp" w:cs="Times New Roman"/>
      <w:b/>
      <w:bCs/>
      <w:noProof/>
      <w:kern w:val="0"/>
      <w:lang w:val="es-ES" w:eastAsia="es-ES"/>
      <w14:ligatures w14:val="none"/>
    </w:r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3568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37</cp:revision>
  <cp:lastPrinted>2025-02-11T13:28:00Z</cp:lastPrinted>
  <dcterms:created xsi:type="dcterms:W3CDTF">2024-11-14T18:52:00Z</dcterms:created>
  <dcterms:modified xsi:type="dcterms:W3CDTF">2025-02-11T13:29:00Z</dcterms:modified>
</cp:coreProperties>
</file>