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176B50"/>
          <w:sz w:val="72"/>
        </w:rPr>
        <w:t>EcoRed</w:t>
      </w:r>
    </w:p>
    <w:p>
      <w:pPr>
        <w:spacing w:before="240"/>
        <w:jc w:val="center"/>
      </w:pPr>
      <w:r>
        <w:rPr>
          <w:rFonts w:ascii="Aptos Display" w:hAnsi="Aptos Display"/>
          <w:b/>
          <w:color w:val="17332B"/>
          <w:sz w:val="36"/>
        </w:rPr>
        <w:t>INFORME DE CIERRE DEL PROYECTO</w:t>
      </w:r>
    </w:p>
    <w:p>
      <w:pPr>
        <w:spacing w:before="160"/>
        <w:jc w:val="center"/>
      </w:pPr>
      <w:r>
        <w:rPr>
          <w:i/>
        </w:rPr>
        <w:t>Donaciones de materiales y conexión con organizaciones receptoras</w:t>
      </w:r>
    </w:p>
    <w:p>
      <w:pPr>
        <w:spacing w:before="200"/>
        <w:jc w:val="center"/>
      </w:pPr>
      <w:r>
        <w:t>Luis Fernando Núñez Díaz</w:t>
      </w:r>
    </w:p>
    <w:p>
      <w:pPr>
        <w:spacing w:before="200"/>
        <w:jc w:val="center"/>
      </w:pPr>
      <w:r>
        <w:t>Materia: Ingeniería de Software</w:t>
      </w:r>
    </w:p>
    <w:p>
      <w:pPr>
        <w:spacing w:before="200"/>
        <w:jc w:val="center"/>
      </w:pPr>
      <w:r>
        <w:t>Docente: Luis Carlos Tarango Colmenero</w:t>
      </w:r>
    </w:p>
    <w:p>
      <w:pPr>
        <w:spacing w:before="200"/>
        <w:jc w:val="center"/>
      </w:pPr>
      <w:r>
        <w:t>26 de septiembre de 2026</w:t>
      </w:r>
    </w:p>
    <w:p>
      <w:r>
        <w:br w:type="page"/>
      </w:r>
    </w:p>
    <w:p>
      <w:r>
        <w:rPr>
          <w:b/>
        </w:rPr>
        <w:t>Responsable:</w:t>
      </w:r>
      <w:r>
        <w:t xml:space="preserve"> Luis Fernando Núñez Díaz</w:t>
      </w:r>
    </w:p>
    <w:p>
      <w:r>
        <w:rPr>
          <w:b/>
        </w:rPr>
        <w:t>Materia:</w:t>
      </w:r>
      <w:r>
        <w:t xml:space="preserve"> Ingeniería de Software</w:t>
      </w:r>
    </w:p>
    <w:p>
      <w:r>
        <w:rPr>
          <w:b/>
        </w:rPr>
        <w:t>Docente:</w:t>
      </w:r>
      <w:r>
        <w:t xml:space="preserve"> Luis Carlos Tarango Colmenero</w:t>
      </w:r>
    </w:p>
    <w:p>
      <w:r>
        <w:rPr>
          <w:b/>
        </w:rPr>
        <w:t>Fecha de corte:</w:t>
      </w:r>
      <w:r>
        <w:t xml:space="preserve"> 26 de septiembre de 2026</w:t>
      </w:r>
    </w:p>
    <w:p>
      <w:pPr>
        <w:pStyle w:val="Heading2"/>
      </w:pPr>
      <w:r>
        <w:t>Resumen ejecutivo</w:t>
      </w:r>
    </w:p>
    <w:p>
      <w:r>
        <w:t>Se construyó un MVP web que conecta donantes de materiales con organizaciones receptoras. El flujo permite registrar donaciones a organizaciones verificadas que aceptan su categoría; la organización destinataria puede aceptar una donación pendiente y confirmar después la entrega. Administración conserva la opción de aprobar o rechazar donaciones pendientes. Los cambios se registran con actor y estados para mantener la trazabilidad.</w:t>
      </w:r>
    </w:p>
    <w:p>
      <w:r>
        <w:t>La aplicación y la API están implementadas; la última ejecución de Jest aprobó 13 pruebas en 3 suites. La cobertura supera el 80 % en los módulos críticos configurados, pero no representa cobertura total de rutas ni de interfaz. El despliegue automático a staging, OWASP ZAP y SonarQube continúan pendientes de configuración externa y ejecución; no se reportan como completados.</w:t>
      </w:r>
    </w:p>
    <w:p>
      <w:r>
        <w:t>Los análisis dinámicos de OWASP ZAP, el análisis de SonarQube y el despliegue automático no se reportan como ejecutados: falta enlazar una URL de staging y configurar el servicio de SonarQube y el webhook de despliegue en el repositorio GitHub. Sus workflows quedan preparados para activarse al proporcionar esa configuración.</w:t>
      </w:r>
    </w:p>
    <w:p>
      <w:pPr>
        <w:pStyle w:val="Heading2"/>
      </w:pPr>
      <w:r>
        <w:t>Comparación entre planificación 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76B50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Plan del avance inicial</w:t>
            </w:r>
          </w:p>
        </w:tc>
        <w:tc>
          <w:tcPr>
            <w:tcW w:type="dxa" w:w="3264"/>
            <w:vAlign w:val="center"/>
            <w:shd w:fill="176B50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Resultado de esta entrega</w:t>
            </w:r>
          </w:p>
        </w:tc>
        <w:tc>
          <w:tcPr>
            <w:tcW w:type="dxa" w:w="3264"/>
            <w:vAlign w:val="center"/>
            <w:shd w:fill="176B50"/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Registrar ciudadanos y centros de reciclaje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Registro de donantes y organizaciones receptoras con roles distintos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Implementado en el MVP</w:t>
            </w:r>
          </w:p>
        </w:tc>
      </w:tr>
      <w:tr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Geolocalizar centros por tipo de residuo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Directorio de organizaciones y categorías aceptadas; sin mapa ni cálculo de distancia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Parcial; geolocalización se difiere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Clasificar materiales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Categorías de electrónicos, plásticos, vidrio, papel, metal, ropa, alimentos y otros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Validar la información de los centros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Las organizaciones nuevas requieren aprobación administrativa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Registrar y recibir donaciones con trazabilidad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El donante elige una organización verificada compatible; la organización receptora puede aceptar pendientes y confirmar entregas; administración puede aprobar o rechazar pendientes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Implementado en el MVP</w:t>
            </w:r>
          </w:p>
        </w:tc>
      </w:tr>
      <w:tr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Incentivos y notificaciones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No se añadieron recompensas ni avisos automáticos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Diferido para no ampliar el MVP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Reportes de impacto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Se muestra el peso entregado en kg; no se calculan equivalencias ambientales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Parcial; métricas avanzadas diferidas</w:t>
            </w:r>
          </w:p>
        </w:tc>
      </w:tr>
      <w:tr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Cuatro sprints en ocho semanas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Se priorizó una entrega funcional centrada en registro, seguridad y flujo de donación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El cronograma original no se puede comparar por días porque no se registraron fechas reales de sprint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Cobertura unitaria ≥80 %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Jest mide seguridad y reglas de transición de estado; la última ejecución obtuvo 95.31 % de sentencias, 87.09 % de ramas, 100 % de funciones y 95.23 % de líneas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Cumplido para esos módulos; no equivale a cobertura total de rutas y frontend</w:t>
            </w:r>
          </w:p>
        </w:tc>
      </w:tr>
      <w:tr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Auditoría estática/dependencias/privacidad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Escáneres disponibles en Replit ejecutados el 24 de septiembre de 2026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0 resultados en los tres escáneres; el detalle queda en `reports/security/scan-results.md`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OWASP ZAP y SonarQube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CI preparado para analizar una URL de staging y un servidor SonarQube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rPr>
                <w:sz w:val="18"/>
              </w:rPr>
              <w:t>Pendiente de configuración y ejecución; no se inventan resultados</w:t>
            </w:r>
          </w:p>
        </w:tc>
      </w:tr>
      <w:tr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CI/CD con despliegue de prueba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CI valida código, pruebas y compilación; el paso de staging llama un webhook configurado por el equipo</w:t>
            </w:r>
          </w:p>
        </w:tc>
        <w:tc>
          <w:tcPr>
            <w:tcW w:type="dxa" w:w="3264"/>
            <w:vAlign w:val="center"/>
            <w:shd w:fill="E8F3ED"/>
          </w:tcPr>
          <w:p>
            <w:pPr>
              <w:spacing w:after="60"/>
            </w:pPr>
            <w:r>
              <w:rPr>
                <w:sz w:val="18"/>
              </w:rPr>
              <w:t>El pipeline está definido; el despliegue queda condicionado a las credenciales/URL del proveedor</w:t>
            </w:r>
          </w:p>
        </w:tc>
      </w:tr>
    </w:tbl>
    <w:p/>
    <w:p>
      <w:pPr>
        <w:pStyle w:val="Heading2"/>
      </w:pPr>
      <w:r>
        <w:t>Lecciones aprendidas</w:t>
      </w:r>
    </w:p>
    <w:p>
      <w:pPr>
        <w:pStyle w:val="ListNumber"/>
      </w:pPr>
      <w:r>
        <w:rPr>
          <w:b/>
        </w:rPr>
        <w:t>Alinear el alcance con la rúbrica desde el inicio.</w:t>
      </w:r>
      <w:r>
        <w:t xml:space="preserve"> El proyecto original incluía mapas, recompensas e informes, mientras la actividad pedía un módulo demostrable de donaciones y seguridad. Integrar el flujo de donaciones con centros de reciclaje mantuvo la continuidad sin intentar implementar todo en la primera versión.</w:t>
      </w:r>
    </w:p>
    <w:p>
      <w:pPr>
        <w:pStyle w:val="ListNumber"/>
      </w:pPr>
      <w:r>
        <w:rPr>
          <w:b/>
        </w:rPr>
        <w:t>Diseñar permisos junto al flujo de negocio.</w:t>
      </w:r>
      <w:r>
        <w:t xml:space="preserve"> La administración puede aprobar o rechazar registros pendientes; la organización destinataria puede aceptar y confirmar la entrega. Restringir cada transición por actor y estado evita que donantes u organizaciones ajenas alteren el recorrido.</w:t>
      </w:r>
    </w:p>
    <w:p>
      <w:pPr>
        <w:pStyle w:val="ListNumber"/>
      </w:pPr>
      <w:r>
        <w:rPr>
          <w:b/>
        </w:rPr>
        <w:t>La trazabilidad requiere un historial, no solo una etiqueta.</w:t>
      </w:r>
      <w:r>
        <w:t xml:space="preserve"> Mantener eventos de cambio conserva quién actuó y cuándo.</w:t>
      </w:r>
    </w:p>
    <w:p>
      <w:pPr>
        <w:pStyle w:val="ListNumber"/>
      </w:pPr>
      <w:r>
        <w:rPr>
          <w:b/>
        </w:rPr>
        <w:t>Una cobertura parcial debe declararse con claridad.</w:t>
      </w:r>
      <w:r>
        <w:t xml:space="preserve"> La meta del 80 % aplica a los módulos críticos cubiertos por las pruebas unitarias, no al total de rutas y pantallas.</w:t>
      </w:r>
    </w:p>
    <w:p>
      <w:pPr>
        <w:pStyle w:val="ListNumber"/>
      </w:pPr>
      <w:r>
        <w:rPr>
          <w:b/>
        </w:rPr>
        <w:t>La seguridad del despliegue depende de servicios externos.</w:t>
      </w:r>
      <w:r>
        <w:t xml:space="preserve"> ZAP, SonarQube y el destino de staging necesitan variables y credenciales que no son parte del código y deben cargarse en los secretos de GitHub.</w:t>
      </w:r>
    </w:p>
    <w:p>
      <w:pPr>
        <w:pStyle w:val="Heading2"/>
      </w:pPr>
      <w:r>
        <w:t>Plan de mejora continua</w:t>
      </w:r>
    </w:p>
    <w:p>
      <w:pPr>
        <w:pStyle w:val="Heading3"/>
      </w:pPr>
      <w:r>
        <w:t>Siguiente iteración</w:t>
      </w:r>
    </w:p>
    <w:p>
      <w:pPr>
        <w:pStyle w:val="ListBullet"/>
      </w:pPr>
      <w:r>
        <w:t>Probar rutas con pruebas de integración: autenticación, aislamiento de datos por rol, verificación organizacional y transiciones concurrentes.</w:t>
      </w:r>
    </w:p>
    <w:p>
      <w:pPr>
        <w:pStyle w:val="ListBullet"/>
      </w:pPr>
      <w:r>
        <w:t>Completar cobertura de API y UI y mantener el mínimo del 80 % en la lógica de dominio.</w:t>
      </w:r>
    </w:p>
    <w:p>
      <w:pPr>
        <w:pStyle w:val="ListBullet"/>
      </w:pPr>
      <w:r>
        <w:t>Conectar el workflow a un staging real; ejecutar OWASP ZAP y conservar su reporte por cada despliegue.</w:t>
      </w:r>
    </w:p>
    <w:p>
      <w:pPr>
        <w:pStyle w:val="ListBullet"/>
      </w:pPr>
      <w:r>
        <w:t>Configurar SonarQube y establecer una línea base para deuda técnica, code smells y duplicación.</w:t>
      </w:r>
    </w:p>
    <w:p>
      <w:pPr>
        <w:pStyle w:val="ListBullet"/>
      </w:pPr>
      <w:r>
        <w:t>Agregar límites de intentos para autenticación, verificación de correo y mecanismo de revocación/renovación de sesión.</w:t>
      </w:r>
    </w:p>
    <w:p>
      <w:pPr>
        <w:pStyle w:val="Heading3"/>
      </w:pPr>
      <w:r>
        <w:t>Evolución del producto</w:t>
      </w:r>
    </w:p>
    <w:p>
      <w:pPr>
        <w:pStyle w:val="ListBullet"/>
      </w:pPr>
      <w:r>
        <w:t>Integrar geolocalización y filtros de proximidad.</w:t>
      </w:r>
    </w:p>
    <w:p>
      <w:pPr>
        <w:pStyle w:val="ListBullet"/>
      </w:pPr>
      <w:r>
        <w:t>Añadir notificaciones de cambios de estado y recordatorios.</w:t>
      </w:r>
    </w:p>
    <w:p>
      <w:pPr>
        <w:pStyle w:val="ListBullet"/>
      </w:pPr>
      <w:r>
        <w:t>Calcular impacto únicamente con factores ambientales documentados y trazables.</w:t>
      </w:r>
    </w:p>
    <w:p>
      <w:pPr>
        <w:pStyle w:val="ListBullet"/>
      </w:pPr>
      <w:r>
        <w:t>Diseñar recompensas con reglas auditables para evitar incentivos manipulables.</w:t>
      </w:r>
    </w:p>
    <w:p>
      <w:pPr>
        <w:pStyle w:val="ListBullet"/>
      </w:pPr>
      <w:r>
        <w:t>Incorporar reportes descargables para organizaciones y gobiernos locales.</w:t>
      </w:r>
    </w:p>
    <w:p>
      <w:pPr>
        <w:pStyle w:val="Heading2"/>
      </w:pPr>
      <w:r>
        <w:t>Estado de cierre</w:t>
      </w:r>
    </w:p>
    <w:p>
      <w:r>
        <w:t>El MVP de aplicación queda implementado y ejecutable. Las pruebas unitarias y los tres análisis de seguridad ejecutados en Replit están resumidos en `reports/`; no equivalen a un escaneo OWASP ZAP. Los resultados de ZAP y SonarQube y el despliegue automático a staging quedan explícitamente pendientes hasta configurar y ejecutar esos servicios en CI. El workflow no debe interpretarse como evidencia de que ya se realizaron.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6B50"/>
        <w:sz w:val="16"/>
      </w:rPr>
      <w:t>ECORED  |  INFORME DE CIERRE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73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del proyecto EcoRed</dc:title>
  <dc:subject>Donaciones y reciclaje</dc:subject>
  <dc:creator>EcoRed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