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/ns0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after="240"/>
      </w:pPr>
    </w:p>
    <w:tbl>
      <w:tblPr>
        <w:tblW w:w="10440" w:type="dxa"/>
        <w:tblLayout w:type="fixed"/>
      </w:tblPr>
      <w:tblGrid>
        <w:gridCol w:w="3480"/>
        <w:gridCol w:w="3480"/>
        <w:gridCol w:w="3480"/>
      </w:tblGrid>
      <w:tr>
        <w:trPr>
          <w:trHeight w:val="140" w:hRule="exact"/>
        </w:trPr>
        <w:tc>
          <w:tcPr>
            <w:tcW w:w="3480" w:type="dxa"/>
            <w:shd w:fill="7C3AED" w:val="clear"/>
          </w:tcPr>
          <w:p>
            <w:pPr>
              <w:spacing w:after="0"/>
            </w:pPr>
          </w:p>
        </w:tc>
        <w:tc>
          <w:tcPr>
            <w:tcW w:w="3480" w:type="dxa"/>
            <w:shd w:fill="14B8A6" w:val="clear"/>
          </w:tcPr>
          <w:p>
            <w:pPr>
              <w:spacing w:after="0"/>
            </w:pPr>
          </w:p>
        </w:tc>
        <w:tc>
          <w:tcPr>
            <w:tcW w:w="3480" w:type="dxa"/>
            <w:shd w:fill="FBBF24" w:val="clear"/>
          </w:tcPr>
          <w:p>
            <w:pPr>
              <w:spacing w:after="0"/>
            </w:pPr>
          </w:p>
        </w:tc>
      </w:tr>
    </w:tbl>
    <w:p>
      <w:pPr>
        <w:spacing w:after="260"/>
      </w:pPr>
    </w:p>
    <w:tbl>
      <w:tblPr>
        <w:tblW w:w="10440" w:type="dxa"/>
        <w:tblLayout w:type="fixed"/>
        <w:tblBorders>
          <w:top w:val="single" w:sz="8" w:color="E6DCF5"/>
          <w:left w:val="single" w:sz="4" w:color="E6DCF5"/>
          <w:bottom w:val="single" w:sz="8" w:color="E6DCF5"/>
          <w:right w:val="single" w:sz="4" w:color="E6DCF5"/>
          <w:insideH w:val="single" w:sz="4" w:color="E6DCF5"/>
          <w:insideV w:val="single" w:sz="4" w:color="E6DCF5"/>
        </w:tblBorders>
        <w:tblCellMar>
          <w:top w:w="520" w:type="dxa"/>
          <w:start w:w="420" w:type="dxa"/>
          <w:bottom w:w="520" w:type="dxa"/>
          <w:end w:w="420" w:type="dxa"/>
        </w:tblCellMar>
      </w:tblPr>
      <w:tblGrid>
        <w:gridCol w:w="10440"/>
      </w:tblGrid>
      <w:tr>
        <w:trPr>
          <w:trHeight w:val="7200" w:hRule="atLeast"/>
        </w:trPr>
        <w:tc>
          <w:tcPr>
            <w:tcW w:w="10440" w:type="dxa"/>
            <w:shd w:fill="F7F3FF" w:val="clear"/>
            <w:vAlign w:val="center"/>
          </w:tcPr>
          <w:p>
            <w:pPr>
              <w:pStyle w:val="CoverLabel"/>
              <w:jc w:val="center"/>
              <w:spacing w:after="230"/>
            </w:pPr>
            <w:r>
              <w:rPr>
                <w:b/>
                <w:color w:val="14B8A6"/>
                <w:sz w:val="19"/>
              </w:rPr>
              <w:t>DOCUMENTO DE REFERENCIA</w:t>
            </w:r>
          </w:p>
          <w:p>
            <w:pPr>
              <w:jc w:val="center"/>
              <w:spacing w:after="240"/>
            </w:pPr>
            <w:r>
              <w:drawing>
                <wp:inline distT="0" distB="0" distL="0" distR="0">
                  <wp:extent cx="1645920" cy="1645920"/>
                  <wp:effectExtent l="0" t="0" r="0" b="0"/>
                  <wp:docPr id="1" name="Logo TD-App" descr="Logotipo oficial de TD-Ap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verTitle"/>
              <w:jc w:val="center"/>
              <w:spacing w:after="120"/>
            </w:pPr>
            <w:r>
              <w:rPr>
                <w:b/>
                <w:color w:val="4C1D95"/>
                <w:sz w:val="56"/>
              </w:rPr>
              <w:t>TD-App</w:t>
            </w:r>
          </w:p>
          <w:p>
            <w:pPr>
              <w:pStyle w:val="CoverSubtitle"/>
              <w:jc w:val="center"/>
              <w:spacing w:after="260"/>
            </w:pPr>
            <w:r>
              <w:rPr>
                <w:color w:val="21123B"/>
                <w:sz w:val="30"/>
              </w:rPr>
              <w:t>Proyecto, funcionamiento y evidencias</w:t>
            </w:r>
          </w:p>
          <w:p>
            <w:pPr>
              <w:pStyle w:val="CoverMeta"/>
              <w:jc w:val="center"/>
              <w:spacing w:after="80"/>
            </w:pPr>
            <w:r>
              <w:rPr>
                <w:color w:val="6D647A"/>
                <w:sz w:val="21"/>
              </w:rPr>
              <w:t>Equipo Pingüino  ·  Septiembre de 2026</w:t>
            </w:r>
          </w:p>
          <w:p>
            <w:pPr>
              <w:pStyle w:val="CoverTagline"/>
              <w:jc w:val="center"/>
              <w:spacing w:before="220"/>
            </w:pPr>
            <w:r>
              <w:rPr>
                <w:i/>
                <w:color w:val="7C3AED"/>
                <w:sz w:val="22"/>
              </w:rPr>
              <w:t>Pequeños pasos, grandes avances</w:t>
            </w:r>
          </w:p>
        </w:tc>
      </w:tr>
    </w:tbl>
    <w:p>
      <w:pPr>
        <w:spacing w:after="220"/>
      </w:pPr>
    </w:p>
    <w:p>
      <w:pPr>
        <w:jc w:val="center"/>
        <w:spacing w:after="180"/>
      </w:pPr>
      <w:r>
        <w:rPr>
          <w:color w:val="6D647A"/>
        </w:rPr>
        <w:t>Funciones principales · persistencia · alcance actual</w:t>
      </w:r>
    </w:p>
    <w:p>
      <w:r>
        <w:br w:type="page"/>
      </w:r>
    </w:p>
    <w:p>
      <w:pPr>
        <w:pStyle w:val="Heading1"/>
        <w:spacing w:before="250" w:after="110"/>
        <w:keepNext/>
      </w:pPr>
      <w:r>
        <w:rPr/>
        <w:t>Ficha del proyecto</w:t>
      </w:r>
    </w:p>
    <w:tbl>
      <w:tblPr>
        <w:tblW w:w="10440" w:type="dxa"/>
        <w:tblLayout w:type="fixed"/>
        <w:tblBorders>
          <w:top w:val="single" w:sz="5" w:space="0" w:color="DDD5EB"/>
          <w:left w:val="single" w:sz="3" w:space="0" w:color="DDD5EB"/>
          <w:bottom w:val="single" w:sz="5" w:space="0" w:color="DDD5EB"/>
          <w:right w:val="single" w:sz="3" w:space="0" w:color="DDD5EB"/>
          <w:insideH w:val="single" w:sz="3" w:space="0" w:color="DDD5EB"/>
          <w:insideV w:val="single" w:sz="3" w:space="0" w:color="DDD5EB"/>
        </w:tblBorders>
        <w:tblCellMar>
          <w:top w:w="100" w:type="dxa"/>
          <w:start w:w="130" w:type="dxa"/>
          <w:bottom w:w="100" w:type="dxa"/>
          <w:end w:w="130" w:type="dxa"/>
        </w:tblCellMar>
      </w:tblPr>
      <w:tblGrid>
        <w:gridCol w:w="5220"/>
        <w:gridCol w:w="5220"/>
      </w:tblGrid>
      <w:tr>
        <w:trPr>
          <w:tblHeader/>
        </w:trPr>
        <w:tc>
          <w:tcPr>
            <w:tcW w:w="5220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Dato</w:t>
            </w:r>
          </w:p>
        </w:tc>
        <w:tc>
          <w:tcPr>
            <w:tcW w:w="5220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Información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Nombre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TD-App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Equipo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Pingüino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Integrantes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Luis Fernando Núñez Díaz; Ricardo Baranda Cisneros; Bryan David Mariñelarena Ponce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Producto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Aplicación Android nativa y sitio público informativo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Fecha de elaboración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Septiembre de 2026</w:t>
            </w:r>
          </w:p>
        </w:tc>
      </w:tr>
    </w:tbl>
    <w:p>
      <w:pPr>
        <w:spacing w:after="100"/>
      </w:pPr>
    </w:p>
    <w:p>
      <w:pPr>
        <w:pStyle w:val="Heading1"/>
        <w:spacing w:before="250" w:after="110"/>
        <w:keepNext/>
      </w:pPr>
      <w:r>
        <w:rPr/>
        <w:t>Descripción, problema y público</w:t>
      </w:r>
    </w:p>
    <w:p>
      <w:pPr>
        <w:pStyle w:val="Normal"/>
        <w:spacing w:after="100"/>
      </w:pPr>
      <w:r>
        <w:rPr/>
        <w:t>TD-App es una herramienta de enfoque, hábitos y organización. Ayuda a convertir objetivos en acciones pequeñas, iniciar periodos de concentración y ver el avance mediante misiones, rachas y recompensas. El sitio público explica la propuesta y permite acceder a la descarga de Android.</w:t>
      </w:r>
    </w:p>
    <w:p>
      <w:pPr>
        <w:pStyle w:val="Normal"/>
        <w:spacing w:after="100"/>
      </w:pPr>
      <w:r>
        <w:rPr/>
        <w:t>El problema que aborda es la dificultad para organizar tareas, comenzar una actividad y sostener la atención o un hábito. El público al que se dirige incluye personas que buscan apoyo para planificar sus actividades, en especial quienes experimentan retos de atención u organización, como algunas personas con TDAH. La aplicación es una herramienta de acompañamiento y no diagnostica ni sustituye atención profesional.</w:t>
      </w:r>
    </w:p>
    <w:p>
      <w:pPr>
        <w:pStyle w:val="Heading1"/>
        <w:spacing w:before="250" w:after="110"/>
        <w:keepNext/>
      </w:pPr>
      <w:r>
        <w:rPr/>
        <w:t>Objetivo y funciones</w:t>
      </w:r>
    </w:p>
    <w:p>
      <w:pPr>
        <w:pStyle w:val="Normal"/>
        <w:spacing w:after="100"/>
      </w:pPr>
      <w:r>
        <w:rPr/>
        <w:t>La propuesta busca que el usuario pase de una intención general a un siguiente paso visible, con retroalimentación sencilla sobre su avance.</w:t>
      </w:r>
    </w:p>
    <w:tbl>
      <w:tblPr>
        <w:tblW w:w="10440" w:type="dxa"/>
        <w:tblLayout w:type="fixed"/>
        <w:tblBorders>
          <w:top w:val="single" w:sz="5" w:space="0" w:color="DDD5EB"/>
          <w:left w:val="single" w:sz="3" w:space="0" w:color="DDD5EB"/>
          <w:bottom w:val="single" w:sz="5" w:space="0" w:color="DDD5EB"/>
          <w:right w:val="single" w:sz="3" w:space="0" w:color="DDD5EB"/>
          <w:insideH w:val="single" w:sz="3" w:space="0" w:color="DDD5EB"/>
          <w:insideV w:val="single" w:sz="3" w:space="0" w:color="DDD5EB"/>
        </w:tblBorders>
        <w:tblCellMar>
          <w:top w:w="100" w:type="dxa"/>
          <w:start w:w="130" w:type="dxa"/>
          <w:bottom w:w="100" w:type="dxa"/>
          <w:end w:w="130" w:type="dxa"/>
        </w:tblCellMar>
      </w:tblPr>
      <w:tblGrid>
        <w:gridCol w:w="5220"/>
        <w:gridCol w:w="5220"/>
      </w:tblGrid>
      <w:tr>
        <w:trPr>
          <w:tblHeader/>
        </w:trPr>
        <w:tc>
          <w:tcPr>
            <w:tcW w:w="5220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Función</w:t>
            </w:r>
          </w:p>
        </w:tc>
        <w:tc>
          <w:tcPr>
            <w:tcW w:w="5220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Uso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Inicio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Consulta saldo TD-Coins, Pomodoros, misiones, racha, frase del día y accesos rápidos.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Pomodoro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Inicia, pausa o reinicia bloques de enfoque; registra sesiones y ofrece descansos.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Misiones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Crea objetivos por categoría y meta de pasos; permite avanzar y recibir recompensas al completar.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Retos y planes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Describe un desafío por texto o voz y solicita un plan con sugerencias y acciones concretas.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Notas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Guarda texto reconocido o escrito y permite convertir una nota en una misión. El audio original no se mantiene como historial.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Recordatorios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Configura avisos locales para enfoque, misiones o rachas, además de horarios silenciosos.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Tienda interna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Presenta recompensas visuales y permite canjearlas con TD-Coins dentro de la aplicación; no procesa pagos ni pedidos en línea.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Sitio público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Presenta cómo funciona, funciones, recompensas, preguntas frecuentes y descarga del APK.</w:t>
            </w:r>
          </w:p>
        </w:tc>
      </w:tr>
    </w:tbl>
    <w:p>
      <w:pPr>
        <w:spacing w:after="100"/>
      </w:pPr>
    </w:p>
    <w:p>
      <w:pPr>
        <w:pStyle w:val="Heading1"/>
        <w:spacing w:before="250" w:after="110"/>
        <w:keepNext/>
      </w:pPr>
      <w:r>
        <w:rPr/>
        <w:t>Experiencia de uso y decisiones de diseño</w:t>
      </w:r>
    </w:p>
    <w:p>
      <w:pPr>
        <w:pStyle w:val="Normal"/>
        <w:spacing w:after="100"/>
      </w:pPr>
      <w:r>
        <w:rPr/>
        <w:t>La aplicación organiza sus funciones en cinco secciones principales con navegación persistente. La pantalla de Inicio concentra el estado general; las demás se enfocan en una tarea concreta. Las tarjetas, indicadores de progreso, categorías con color y textos de acción hacen visible qué puede hacer el usuario y qué avance ha realizado. La interfaz usa fondo claro y acentos morados, turquesa y dorados.</w:t>
      </w:r>
    </w:p>
    <w:p>
      <w:pPr>
        <w:pStyle w:val="Normal"/>
        <w:spacing w:after="100"/>
      </w:pPr>
      <w:r>
        <w:rPr/>
        <w:t>El sitio web acompaña a la aplicación, pero no es una tienda electrónica: sus recompensas son una presentación visual y sus botones llevan a la descarga. El producto combina una app nativa con un sitio responsivo para que la explicación del proyecto pueda consultarse en pantallas de distintos tamaños.</w:t>
      </w:r>
    </w:p>
    <w:p>
      <w:pPr>
        <w:pStyle w:val="Heading1"/>
        <w:spacing w:before="250" w:after="110"/>
        <w:keepNext/>
      </w:pPr>
      <w:r>
        <w:rPr/>
        <w:t>Accesibilidad y adaptación</w:t>
      </w:r>
    </w:p>
    <w:p>
      <w:pPr>
        <w:pStyle w:val="Normal"/>
        <w:spacing w:after="100"/>
      </w:pPr>
      <w:r>
        <w:rPr/>
        <w:t>La aplicación incluye etiquetas descriptivas para controles, estados accesibles para selecciones, información semántica del progreso y orden de lectura en pantallas relevantes. La navegación cambia entre barra inferior y navegación lateral según el ancho de pantalla. Se han contemplado el aumento del tamaño de texto y el desplazamiento del contenido; estas decisiones no equivalen a una certificación universal de accesibilidad.</w:t>
      </w:r>
    </w:p>
    <w:p>
      <w:pPr>
        <w:pStyle w:val="Normal"/>
        <w:spacing w:after="100"/>
      </w:pPr>
      <w:r>
        <w:rPr/>
        <w:t>El dictado solicita permiso de micrófono, distingue errores habituales del servicio y conserva la escritura manual como alternativa. En el sitio web hay etiquetas para controles, textos alternativos para imágenes, una alternativa descriptiva al teléfono 3D cuando WebGL no está disponible y una preferencia para reducir movimiento.</w:t>
      </w:r>
    </w:p>
    <w:p>
      <w:pPr>
        <w:pStyle w:val="Heading1"/>
        <w:spacing w:before="250" w:after="110"/>
        <w:keepNext/>
      </w:pPr>
      <w:r>
        <w:rPr/>
        <w:t>Tecnologías y arquitectura</w:t>
      </w:r>
    </w:p>
    <w:tbl>
      <w:tblPr>
        <w:tblW w:w="10440" w:type="dxa"/>
        <w:tblLayout w:type="fixed"/>
        <w:tblBorders>
          <w:top w:val="single" w:sz="5" w:space="0" w:color="DDD5EB"/>
          <w:left w:val="single" w:sz="3" w:space="0" w:color="DDD5EB"/>
          <w:bottom w:val="single" w:sz="5" w:space="0" w:color="DDD5EB"/>
          <w:right w:val="single" w:sz="3" w:space="0" w:color="DDD5EB"/>
          <w:insideH w:val="single" w:sz="3" w:space="0" w:color="DDD5EB"/>
          <w:insideV w:val="single" w:sz="3" w:space="0" w:color="DDD5EB"/>
        </w:tblBorders>
        <w:tblCellMar>
          <w:top w:w="100" w:type="dxa"/>
          <w:start w:w="130" w:type="dxa"/>
          <w:bottom w:w="100" w:type="dxa"/>
          <w:end w:w="130" w:type="dxa"/>
        </w:tblCellMar>
      </w:tblPr>
      <w:tblGrid>
        <w:gridCol w:w="3236"/>
        <w:gridCol w:w="7204"/>
      </w:tblGrid>
      <w:tr>
        <w:trPr>
          <w:tblHeader/>
        </w:trPr>
        <w:tc>
          <w:tcPr>
            <w:tcW w:w="3236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Parte</w:t>
            </w:r>
          </w:p>
        </w:tc>
        <w:tc>
          <w:tcPr>
            <w:tcW w:w="7204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Tecnologías y función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Aplicación Android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Kotlin, Jetpack Compose, Material 3, Gradle y Android API 26 o superior. Usa API del sistema para voz, notificaciones y almacenamiento local.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Sitio público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React, TypeScript, Vite, Tailwind CSS y Three.js para la presentación visual y las animaciones.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Servicio web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Node.js y Express para cuentas, recuperación de acceso, sincronización y planes personalizados.</w:t>
            </w:r>
          </w:p>
        </w:tc>
      </w:tr>
      <w:tr>
        <w:tc>
          <w:tcPr>
            <w:tcW w:w="3236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Datos remotos</w:t>
            </w:r>
          </w:p>
        </w:tc>
        <w:tc>
          <w:tcPr>
            <w:tcW w:w="7204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PostgreSQL conserva cuentas, sesiones y el estado sincronizado de cada usuario.</w:t>
            </w:r>
          </w:p>
        </w:tc>
      </w:tr>
      <w:tr>
        <w:tc>
          <w:tcPr>
            <w:tcW w:w="3236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Infraestructura</w:t>
            </w:r>
          </w:p>
        </w:tc>
        <w:tc>
          <w:tcPr>
            <w:tcW w:w="7204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El sitio y el servicio se publican en Replit; la app se comunica con el servicio mediante HTTPS.</w:t>
            </w:r>
          </w:p>
        </w:tc>
      </w:tr>
    </w:tbl>
    <w:p>
      <w:pPr>
        <w:spacing w:after="100"/>
      </w:pPr>
    </w:p>
    <w:p>
      <w:pPr>
        <w:pStyle w:val="Heading1"/>
        <w:spacing w:before="250" w:after="110"/>
        <w:keepNext/>
      </w:pPr>
      <w:r>
        <w:rPr/>
        <w:t>Persistencia y servicios en la nube</w:t>
      </w:r>
    </w:p>
    <w:p>
      <w:pPr>
        <w:pStyle w:val="Normal"/>
        <w:spacing w:after="100"/>
      </w:pPr>
      <w:r>
        <w:rPr/>
        <w:t>La aplicación conserva un estado local en el dispositivo. Cuando la persona tiene una sesión iniciada y conexión, sincroniza los datos de la cuenta con el servicio web y PostgreSQL. Si la sincronización no está disponible, el progreso local se conserva y la app muestra su estado de conexión. La sincronización se reintenta mientras la aplicación está activa; no se presenta como una tarea en segundo plano garantizada.</w:t>
      </w:r>
    </w:p>
    <w:tbl>
      <w:tblPr>
        <w:tblW w:w="10440" w:type="dxa"/>
        <w:tblLayout w:type="fixed"/>
        <w:tblBorders>
          <w:top w:val="single" w:sz="5" w:space="0" w:color="DDD5EB"/>
          <w:left w:val="single" w:sz="3" w:space="0" w:color="DDD5EB"/>
          <w:bottom w:val="single" w:sz="5" w:space="0" w:color="DDD5EB"/>
          <w:right w:val="single" w:sz="3" w:space="0" w:color="DDD5EB"/>
          <w:insideH w:val="single" w:sz="3" w:space="0" w:color="DDD5EB"/>
          <w:insideV w:val="single" w:sz="3" w:space="0" w:color="DDD5EB"/>
        </w:tblBorders>
        <w:tblCellMar>
          <w:top w:w="100" w:type="dxa"/>
          <w:start w:w="130" w:type="dxa"/>
          <w:bottom w:w="100" w:type="dxa"/>
          <w:end w:w="130" w:type="dxa"/>
        </w:tblCellMar>
      </w:tblPr>
      <w:tblGrid>
        <w:gridCol w:w="5220"/>
        <w:gridCol w:w="5220"/>
      </w:tblGrid>
      <w:tr>
        <w:trPr>
          <w:tblHeader/>
        </w:trPr>
        <w:tc>
          <w:tcPr>
            <w:tcW w:w="5220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Información</w:t>
            </w:r>
          </w:p>
        </w:tc>
        <w:tc>
          <w:tcPr>
            <w:tcW w:w="5220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Dónde se conserva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Misiones, progreso, notas de texto, retos, monedas, rachas y sesiones completadas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Estado local y, con cuenta y conexión, sincronización con PostgreSQL.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Horarios y preferencias de recordatorios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Dispositivo Android; no se sincronizan entre dispositivos.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Temporizador en curso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Controles locales de la aplicación.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Dictado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Se conserva el texto reconocido o editado; no un historial de grabaciones.</w:t>
            </w:r>
          </w:p>
        </w:tc>
      </w:tr>
    </w:tbl>
    <w:p>
      <w:pPr>
        <w:spacing w:after="100"/>
      </w:pPr>
    </w:p>
    <w:p>
      <w:pPr>
        <w:pStyle w:val="Normal"/>
        <w:spacing w:after="100"/>
      </w:pPr>
      <w:r>
        <w:rPr/>
        <w:t>Servicios utilizados: Resend entrega correos para recuperar el acceso; Gemini genera propuestas de planes cuando se solicita esa función; el reconocedor de voz de Android transforma el dictado en texto. La disponibilidad del dictado depende del dispositivo y del servicio de voz. También es posible escribir manualmente.</w:t>
      </w:r>
    </w:p>
    <w:p>
      <w:pPr>
        <w:pStyle w:val="Normal"/>
        <w:spacing w:after="100"/>
      </w:pPr>
      <w:r>
        <w:rPr/>
        <w:t>La sincronización remota requiere una cuenta y conexión. El servicio valida la sesión, usa contraseñas protegidas mediante hash y registra operaciones de sincronización para evitar duplicados al reintentar. El token de sesión se guarda en almacenamiento privado de la app, que no se debe confundir con almacenamiento cifrado.</w:t>
      </w:r>
    </w:p>
    <w:p>
      <w:pPr>
        <w:pStyle w:val="Heading1"/>
        <w:spacing w:before="250" w:after="110"/>
        <w:keepNext/>
      </w:pPr>
      <w:r>
        <w:rPr/>
        <w:t>Eventos, validaciones y respuestas</w:t>
      </w:r>
    </w:p>
    <w:tbl>
      <w:tblPr>
        <w:tblW w:w="10440" w:type="dxa"/>
        <w:tblLayout w:type="fixed"/>
        <w:tblBorders>
          <w:top w:val="single" w:sz="5" w:space="0" w:color="DDD5EB"/>
          <w:left w:val="single" w:sz="3" w:space="0" w:color="DDD5EB"/>
          <w:bottom w:val="single" w:sz="5" w:space="0" w:color="DDD5EB"/>
          <w:right w:val="single" w:sz="3" w:space="0" w:color="DDD5EB"/>
          <w:insideH w:val="single" w:sz="3" w:space="0" w:color="DDD5EB"/>
          <w:insideV w:val="single" w:sz="3" w:space="0" w:color="DDD5EB"/>
        </w:tblBorders>
        <w:tblCellMar>
          <w:top w:w="100" w:type="dxa"/>
          <w:start w:w="130" w:type="dxa"/>
          <w:bottom w:w="100" w:type="dxa"/>
          <w:end w:w="130" w:type="dxa"/>
        </w:tblCellMar>
      </w:tblPr>
      <w:tblGrid>
        <w:gridCol w:w="5220"/>
        <w:gridCol w:w="5220"/>
      </w:tblGrid>
      <w:tr>
        <w:trPr>
          <w:tblHeader/>
        </w:trPr>
        <w:tc>
          <w:tcPr>
            <w:tcW w:w="5220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Acción</w:t>
            </w:r>
          </w:p>
        </w:tc>
        <w:tc>
          <w:tcPr>
            <w:tcW w:w="5220" w:type="dxa"/>
            <w:vAlign w:val="top"/>
            <w:shd w:fill="4C1D95" w:val="clear"/>
          </w:tcPr>
          <w:p>
            <w:pPr>
              <w:pStyle w:val="TableHeader"/>
              <w:spacing w:after="0"/>
            </w:pPr>
            <w:r>
              <w:rPr>
                <w:color w:val="FFFFFF"/>
                <w:sz w:val="18"/>
              </w:rPr>
              <w:t>Validación o respuesta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Crear cuenta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Verifica formato de correo y longitud mínima de contraseña; informa si el correo ya está registrado.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Crear misión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Requiere título, categoría y meta de 1 a 30 pasos; muestra el error antes de permitir guardar.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Avanzar misión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Suma un paso y evita entregar de nuevo una recompensa por la misma finalización.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Canjear recompensa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Solicita confirmación y comprueba saldo suficiente y que no exista un canje previo.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Dictar una nota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Solicita permiso; si no hay servicio, permiso o reconocimiento, informa el problema y permite escribir.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Generar plan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Envía el desafío cuando el usuario lo solicita; ante una falla remota puede ofrecer un borrador local.</w:t>
            </w:r>
          </w:p>
        </w:tc>
      </w:tr>
      <w:tr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Sincronizar</w:t>
            </w:r>
          </w:p>
        </w:tc>
        <w:tc>
          <w:tcPr>
            <w:tcW w:w="5220" w:type="dxa"/>
            <w:vAlign w:val="top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Requiere sesión; conserva los cambios locales ante fallos de red y evita duplicar operaciones reintentadas.</w:t>
            </w:r>
          </w:p>
        </w:tc>
      </w:tr>
      <w:tr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Borrar nota o reto</w:t>
            </w:r>
          </w:p>
        </w:tc>
        <w:tc>
          <w:tcPr>
            <w:tcW w:w="5220" w:type="dxa"/>
            <w:vAlign w:val="top"/>
            <w:shd w:fill="FAF8FD" w:val="clear"/>
          </w:tcPr>
          <w:p>
            <w:pPr>
              <w:pStyle w:val="TableCell"/>
              <w:spacing w:after="0"/>
            </w:pPr>
            <w:r>
              <w:rPr>
                <w:color w:val="21123B"/>
                <w:sz w:val="18"/>
              </w:rPr>
              <w:t>Pide confirmación antes de eliminar.</w:t>
            </w:r>
          </w:p>
        </w:tc>
      </w:tr>
    </w:tbl>
    <w:p>
      <w:pPr>
        <w:spacing w:after="100"/>
      </w:pPr>
    </w:p>
    <w:p>
      <w:pPr>
        <w:pStyle w:val="Heading1"/>
        <w:spacing w:before="250" w:after="110"/>
        <w:keepNext/>
      </w:pPr>
      <w:r>
        <w:rPr/>
        <w:t>Pruebas y verificación</w:t>
      </w:r>
    </w:p>
    <w:p>
      <w:pPr>
        <w:pStyle w:val="Normal"/>
        <w:spacing w:after="100"/>
      </w:pPr>
      <w:r>
        <w:rPr/>
        <w:t>La cobertura automatizada existente incluye pruebas unitarias de progreso, rachas, recompensas y programación de recordatorios. También hay pruebas de interfaz para creación y avance de misiones, persistencia al reabrir la actividad, navegación adaptable a teléfono y tableta, etiquetas accesibles, texto ampliado, permisos de micrófono y eliminación confirmada de retos.</w:t>
      </w:r>
    </w:p>
    <w:p>
      <w:pPr>
        <w:pStyle w:val="Normal"/>
        <w:spacing w:after="100"/>
      </w:pPr>
      <w:r>
        <w:rPr/>
        <w:t>El backend cuenta con pruebas de reconciliación de datos y recuperación de contraseña, incluidas expiración, uso único y límites de solicitudes. La verificación de este documento no equivale a una prueba de todos los dispositivos o servicios externos: no se ejecutaron pruebas instrumentadas con un dispositivo conectado, ni se comprobó una entrega real de notificaciones tras reiniciar, los gestos físicos de TalkBack o el dictado sin conexión. Tampoco se presenta la integración con Gemini o Resend como prueba de funcionamiento de sus servicios externos.</w:t>
      </w:r>
    </w:p>
    <w:p>
      <w:pPr>
        <w:pStyle w:val="Heading1"/>
        <w:spacing w:before="250" w:after="110"/>
        <w:keepNext/>
      </w:pPr>
      <w:r>
        <w:rPr/>
        <w:t>Retos técnicos y soluciones</w:t>
      </w:r>
    </w:p>
    <w:p>
      <w:pPr>
        <w:pStyle w:val="ListItem"/>
        <w:spacing w:after="45"/>
      </w:pPr>
      <w:r>
        <w:rPr/>
        <w:t xml:space="preserve">•  </w:t>
      </w:r>
      <w:r>
        <w:rPr>
          <w:b/>
        </w:rPr>
        <w:t>Mantener el avance cuando la conexión falla:</w:t>
      </w:r>
      <w:r>
        <w:rPr/>
        <w:t xml:space="preserve"> se conserva el estado local y se vuelve a intentar la sincronización mientras la app está activa; las operaciones identificadas reducen duplicados.</w:t>
      </w:r>
    </w:p>
    <w:p>
      <w:pPr>
        <w:pStyle w:val="ListItem"/>
        <w:spacing w:after="45"/>
      </w:pPr>
      <w:r>
        <w:rPr/>
        <w:t xml:space="preserve">•  </w:t>
      </w:r>
      <w:r>
        <w:rPr>
          <w:b/>
        </w:rPr>
        <w:t>Disponibilidad irregular del dictado:</w:t>
      </w:r>
      <w:r>
        <w:rPr/>
        <w:t xml:space="preserve"> el ingreso manual sigue disponible y los errores de permiso o servicio se comunican en pantalla.</w:t>
      </w:r>
    </w:p>
    <w:p>
      <w:pPr>
        <w:pStyle w:val="ListItem"/>
        <w:spacing w:after="45"/>
      </w:pPr>
      <w:r>
        <w:rPr/>
        <w:t xml:space="preserve">•  </w:t>
      </w:r>
      <w:r>
        <w:rPr>
          <w:b/>
        </w:rPr>
        <w:t>Diferencias en las notificaciones de Android:</w:t>
      </w:r>
      <w:r>
        <w:rPr/>
        <w:t xml:space="preserve"> los avisos se programan en el dispositivo, pero el sistema operativo puede retrasarlos. La app contempla su reprogramación después de eventos del sistema, sin afirmar que la entrega sea inmediata.</w:t>
      </w:r>
    </w:p>
    <w:p>
      <w:pPr>
        <w:pStyle w:val="ListItem"/>
        <w:spacing w:after="45"/>
      </w:pPr>
      <w:r>
        <w:rPr/>
        <w:t xml:space="preserve">•  </w:t>
      </w:r>
      <w:r>
        <w:rPr>
          <w:b/>
        </w:rPr>
        <w:t>Planes que dependen de un servicio remoto:</w:t>
      </w:r>
      <w:r>
        <w:rPr/>
        <w:t xml:space="preserve"> el plan se solicita explícitamente y puede mostrarse un borrador local si la generación remota no está disponible.</w:t>
      </w:r>
    </w:p>
    <w:p>
      <w:pPr>
        <w:pStyle w:val="ListItem"/>
        <w:spacing w:after="45"/>
      </w:pPr>
      <w:r>
        <w:rPr/>
        <w:t xml:space="preserve">•  </w:t>
      </w:r>
      <w:r>
        <w:rPr>
          <w:b/>
        </w:rPr>
        <w:t>Prototipo frente a producto funcional:</w:t>
      </w:r>
      <w:r>
        <w:rPr/>
        <w:t xml:space="preserve"> el equipo amplió la propuesta visual inicial en Figma hasta una aplicación Android funcional, con persistencia, navegación y conexión con servicios.</w:t>
      </w:r>
    </w:p>
    <w:p>
      <w:pPr>
        <w:pStyle w:val="Heading1"/>
        <w:spacing w:before="250" w:after="110"/>
        <w:keepNext/>
      </w:pPr>
      <w:r>
        <w:rPr/>
        <w:t>Retroalimentación de la primera fase</w:t>
      </w:r>
    </w:p>
    <w:p>
      <w:pPr>
        <w:pStyle w:val="Normal"/>
        <w:spacing w:after="100"/>
      </w:pPr>
      <w:r>
        <w:rPr/>
        <w:t>El equipo no recibió comentarios formales en la primera fase. La mejora documentada fue pasar de un prototipo de Figma a una aplicación funcional, ampliando la experiencia con las funciones de organización, enfoque y seguimiento descritas en este informe.</w:t>
      </w:r>
    </w:p>
    <w:p>
      <w:pPr>
        <w:pStyle w:val="Heading1"/>
        <w:spacing w:before="250" w:after="110"/>
        <w:keepNext/>
      </w:pPr>
      <w:r>
        <w:rPr/>
        <w:t>Uso de inteligencia artificial y aportación del equipo</w:t>
      </w:r>
    </w:p>
    <w:p>
      <w:pPr>
        <w:pStyle w:val="Normal"/>
        <w:spacing w:after="100"/>
      </w:pPr>
      <w:r>
        <w:rPr/>
        <w:t>El equipo reporta que utilizó inteligencia artificial como apoyo en gran parte de la página web, especialmente su estructura y animaciones; en la creación de todas las imágenes de la mercancía; y en animaciones, iconos y conexiones con APIs de la aplicación. El equipo llevó la propuesta desde el prototipo de Figma hasta el producto funcional y empleó esa asistencia en la construcción de la experiencia. No se atribuyen tareas a integrantes individuales porque no se especificaron responsabilidades por persona.</w:t>
      </w:r>
    </w:p>
    <w:p>
      <w:pPr>
        <w:pStyle w:val="Heading1"/>
        <w:spacing w:before="250" w:after="110"/>
        <w:keepNext/>
      </w:pPr>
      <w:r>
        <w:rPr/>
        <w:t>Enlaces del proyecto</w:t>
      </w:r>
    </w:p>
    <w:p>
      <w:pPr>
        <w:pStyle w:val="ListItem"/>
        <w:spacing w:after="45"/>
      </w:pPr>
      <w:r>
        <w:rPr/>
        <w:t>•  Repositorio: https://github.com/Fernando-Nun/TD-App</w:t>
      </w:r>
    </w:p>
    <w:p>
      <w:pPr>
        <w:pStyle w:val="ListItem"/>
        <w:spacing w:after="45"/>
      </w:pPr>
      <w:r>
        <w:rPr/>
        <w:t>•  Sitio público de TD-App: https://td-app.replit.app</w:t>
      </w:r>
    </w:p>
    <w:p>
      <w:pPr>
        <w:pStyle w:val="Normal"/>
        <w:spacing w:after="100"/>
      </w:pPr>
      <w:r>
        <w:rPr/>
        <w:t>El sitio público respondió correctamente al momento de elaborar este informe. El mismo dominio publica los servicios de la API que utiliza la aplicación.</w:t>
      </w:r>
    </w:p>
    <w:p>
      <w:pPr>
        <w:pStyle w:val="Heading1"/>
        <w:spacing w:before="250" w:after="110"/>
        <w:keepNext/>
      </w:pPr>
      <w:r>
        <w:rPr/>
        <w:t>Conclusiones</w:t>
      </w:r>
    </w:p>
    <w:p>
      <w:pPr>
        <w:pStyle w:val="Normal"/>
        <w:spacing w:after="100"/>
      </w:pPr>
      <w:r>
        <w:rPr/>
        <w:t>TD-App convierte metas amplias en acciones pequeñas que se pueden iniciar, seguir y reconocer. La combinación de Pomodoro, misiones, retos, notas, recordatorios y recompensas integra en una sola aplicación varios apoyos para la organización personal. La persistencia local permite conservar el avance ante cortes de conexión y la cuenta habilita su sincronización remota. La experiencia se complementa con una página pública de descarga y una interfaz que considera accesibilidad y adaptación de pantalla. Las limitaciones de servicios de voz, sincronización y notificaciones se indican para que el alcance quede claro.</w:t>
      </w:r>
    </w:p>
    <w:p>
      <w:r>
        <w:br w:type="page"/>
      </w:r>
    </w:p>
    <w:p>
      <w:pPr>
        <w:pStyle w:val="Heading1"/>
        <w:spacing w:before="250" w:after="110"/>
        <w:keepNext/>
      </w:pPr>
      <w:r>
        <w:rPr/>
        <w:t>Evidencia visual</w:t>
      </w:r>
    </w:p>
    <w:p>
      <w:pPr>
        <w:pStyle w:val="Normal"/>
        <w:spacing w:after="130"/>
      </w:pPr>
      <w:r>
        <w:rPr/>
        <w:t>Capturas de la aplicación y del sitio público. Los textos bajo cada imagen identifican la pantalla.</w:t>
      </w:r>
    </w:p>
    <w:tbl>
      <w:tblPr>
        <w:tblW w:w="104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start w:w="70" w:type="dxa"/>
          <w:bottom w:w="60" w:type="dxa"/>
          <w:end w:w="70" w:type="dxa"/>
        </w:tblCellMar>
      </w:tblPr>
      <w:tblGrid>
        <w:gridCol w:w="5220"/>
        <w:gridCol w:w="5220"/>
      </w:tblGrid>
      <w:tr>
        <w:trPr>
          <w:cantSplit/>
        </w:trPr>
        <w:tc>
          <w:tcPr>
            <w:tcW w:w="5220" w:type="dxa"/>
            <w:vAlign w:val="center"/>
          </w:tcPr>
          <w:p>
            <w:pPr>
              <w:jc w:val="center"/>
              <w:spacing w:after="40"/>
            </w:pPr>
            <w:r>
              <w:drawing>
                <wp:inline distT="0" distB="0" distL="0" distR="0">
                  <wp:extent cx="2743200" cy="5577026"/>
                  <wp:effectExtent l="0" t="0" r="0" b="0"/>
                  <wp:docPr id="10" name="Evidencia 10" descr="Inicio: resumen del saldo, el progreso y los accesos a las funciones principal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Evidencia 10" descr="Inicio: resumen del saldo, el progreso y los accesos a las funciones principales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57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after="20"/>
            </w:pPr>
            <w:r>
              <w:rPr>
                <w:color w:val="6D647A"/>
                <w:sz w:val="17"/>
              </w:rPr>
              <w:t>Inicio: resumen del saldo, el progreso y los accesos a las funciones principales.</w:t>
            </w:r>
          </w:p>
        </w:tc>
        <w:tc>
          <w:tcPr>
            <w:tcW w:w="5220" w:type="dxa"/>
            <w:vAlign w:val="center"/>
          </w:tcPr>
          <w:p>
            <w:pPr>
              <w:jc w:val="center"/>
              <w:spacing w:after="40"/>
            </w:pPr>
            <w:r>
              <w:drawing>
                <wp:inline distT="0" distB="0" distL="0" distR="0">
                  <wp:extent cx="2743200" cy="5520905"/>
                  <wp:effectExtent l="0" t="0" r="0" b="0"/>
                  <wp:docPr id="11" name="Evidencia 11" descr="Pomodoro: temporizador de enfoque, controles de la sesión y consejo para el bloqu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Evidencia 11" descr="Pomodoro: temporizador de enfoque, controles de la sesión y consejo para el bloque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52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after="20"/>
            </w:pPr>
            <w:r>
              <w:rPr>
                <w:color w:val="6D647A"/>
                <w:sz w:val="17"/>
              </w:rPr>
              <w:t>Pomodoro: temporizador de enfoque, controles de la sesión y consejo para el bloque.</w:t>
            </w:r>
          </w:p>
        </w:tc>
      </w:tr>
    </w:tbl>
    <w:p>
      <w:r>
        <w:br w:type="page"/>
      </w:r>
    </w:p>
    <w:tbl>
      <w:tblPr>
        <w:tblW w:w="104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start w:w="70" w:type="dxa"/>
          <w:bottom w:w="60" w:type="dxa"/>
          <w:end w:w="70" w:type="dxa"/>
        </w:tblCellMar>
      </w:tblPr>
      <w:tblGrid>
        <w:gridCol w:w="5220"/>
        <w:gridCol w:w="5220"/>
      </w:tblGrid>
      <w:tr>
        <w:trPr>
          <w:cantSplit/>
        </w:trPr>
        <w:tc>
          <w:tcPr>
            <w:tcW w:w="5220" w:type="dxa"/>
            <w:vAlign w:val="center"/>
          </w:tcPr>
          <w:p>
            <w:pPr>
              <w:jc w:val="center"/>
              <w:spacing w:after="40"/>
            </w:pPr>
            <w:r>
              <w:drawing>
                <wp:inline distT="0" distB="0" distL="0" distR="0">
                  <wp:extent cx="2743200" cy="5584122"/>
                  <wp:effectExtent l="0" t="0" r="0" b="0"/>
                  <wp:docPr id="12" name="Evidencia 12" descr="Misiones: seguimiento visual del avance por pasos y categoría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Evidencia 12" descr="Misiones: seguimiento visual del avance por pasos y categorías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58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after="20"/>
            </w:pPr>
            <w:r>
              <w:rPr>
                <w:color w:val="6D647A"/>
                <w:sz w:val="17"/>
              </w:rPr>
              <w:t>Misiones: seguimiento visual del avance por pasos y categorías.</w:t>
            </w:r>
          </w:p>
        </w:tc>
        <w:tc>
          <w:tcPr>
            <w:tcW w:w="5220" w:type="dxa"/>
            <w:vAlign w:val="center"/>
          </w:tcPr>
          <w:p>
            <w:pPr>
              <w:jc w:val="center"/>
              <w:spacing w:after="40"/>
            </w:pPr>
            <w:r>
              <w:drawing>
                <wp:inline distT="0" distB="0" distL="0" distR="0">
                  <wp:extent cx="2743200" cy="5513969"/>
                  <wp:effectExtent l="0" t="0" r="0" b="0"/>
                  <wp:docPr id="13" name="Evidencia 13" descr="Tienda interna: catálogo visual de recompensas para canje con TD-Coi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Evidencia 13" descr="Tienda interna: catálogo visual de recompensas para canje con TD-Coins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513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after="20"/>
            </w:pPr>
            <w:r>
              <w:rPr>
                <w:color w:val="6D647A"/>
                <w:sz w:val="17"/>
              </w:rPr>
              <w:t>Tienda interna: catálogo visual de recompensas para canje con TD-Coins.</w:t>
            </w:r>
          </w:p>
        </w:tc>
      </w:tr>
    </w:tbl>
    <w:p>
      <w:r>
        <w:br w:type="page"/>
      </w:r>
    </w:p>
    <w:tbl>
      <w:tblPr>
        <w:tblW w:w="104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start w:w="70" w:type="dxa"/>
          <w:bottom w:w="60" w:type="dxa"/>
          <w:end w:w="70" w:type="dxa"/>
        </w:tblCellMar>
      </w:tblPr>
      <w:tblGrid>
        <w:gridCol w:w="5220"/>
        <w:gridCol w:w="5220"/>
      </w:tblGrid>
      <w:tr>
        <w:trPr>
          <w:cantSplit/>
        </w:trPr>
        <w:tc>
          <w:tcPr>
            <w:tcW w:w="5220" w:type="dxa"/>
            <w:vAlign w:val="center"/>
          </w:tcPr>
          <w:p>
            <w:pPr>
              <w:jc w:val="center"/>
              <w:spacing w:after="40"/>
            </w:pPr>
            <w:r>
              <w:drawing>
                <wp:inline distT="0" distB="0" distL="0" distR="0">
                  <wp:extent cx="2743200" cy="5486400"/>
                  <wp:effectExtent l="0" t="0" r="0" b="0"/>
                  <wp:docPr id="14" name="Evidencia 14" descr="Mi perfil: dictado o entrada manual, notas y retos principal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Evidencia 14" descr="Mi perfil: dictado o entrada manual, notas y retos principales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4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after="20"/>
            </w:pPr>
            <w:r>
              <w:rPr>
                <w:color w:val="6D647A"/>
                <w:sz w:val="17"/>
              </w:rPr>
              <w:t>Mi perfil: dictado o entrada manual, notas y retos principales.</w:t>
            </w:r>
          </w:p>
        </w:tc>
        <w:tc>
          <w:tcPr>
            <w:tcW w:w="5220" w:type="dxa"/>
            <w:vAlign w:val="center"/>
          </w:tcPr>
          <w:p>
            <w:pPr>
              <w:jc w:val="center"/>
              <w:spacing w:after="40"/>
            </w:pPr>
            <w:r>
              <w:drawing>
                <wp:inline distT="0" distB="0" distL="0" distR="0">
                  <wp:extent cx="2743200" cy="5493266"/>
                  <wp:effectExtent l="0" t="0" r="0" b="0"/>
                  <wp:docPr id="15" name="Evidencia 15" descr="Plan personalizado: recordatorios sugeridos y pasos de acción para un desafí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Evidencia 15" descr="Plan personalizado: recordatorios sugeridos y pasos de acción para un desafío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493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after="20"/>
            </w:pPr>
            <w:r>
              <w:rPr>
                <w:color w:val="6D647A"/>
                <w:sz w:val="17"/>
              </w:rPr>
              <w:t>Plan personalizado: recordatorios sugeridos y pasos de acción para un desafío.</w:t>
            </w:r>
          </w:p>
        </w:tc>
      </w:tr>
    </w:tbl>
    <w:p>
      <w:r>
        <w:br w:type="page"/>
      </w:r>
    </w:p>
    <w:tbl>
      <w:tblPr>
        <w:tblW w:w="104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start w:w="70" w:type="dxa"/>
          <w:bottom w:w="60" w:type="dxa"/>
          <w:end w:w="70" w:type="dxa"/>
        </w:tblCellMar>
      </w:tblPr>
      <w:tblGrid>
        <w:gridCol w:w="10440"/>
      </w:tblGrid>
      <w:tr>
        <w:trPr>
          <w:cantSplit/>
        </w:trPr>
        <w:tc>
          <w:tcPr>
            <w:tcW w:w="10440" w:type="dxa"/>
            <w:gridSpan w:val="2"/>
            <w:vAlign w:val="center"/>
          </w:tcPr>
          <w:p>
            <w:pPr>
              <w:jc w:val="center"/>
              <w:spacing w:after="40"/>
            </w:pPr>
            <w:r>
              <w:drawing>
                <wp:inline distT="0" distB="0" distL="0" distR="0">
                  <wp:extent cx="5303520" cy="2983230"/>
                  <wp:effectExtent l="0" t="0" r="0" b="0"/>
                  <wp:docPr id="16" name="Evidencia 16" descr="Sitio público: presentación del producto y acceso a la descarga de la aplicació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Evidencia 16" descr="Sitio público: presentación del producto y acceso a la descarga de la aplicación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after="20"/>
            </w:pPr>
            <w:r>
              <w:rPr>
                <w:color w:val="6D647A"/>
                <w:sz w:val="17"/>
              </w:rPr>
              <w:t>Sitio público: presentación del producto y acceso a la descarga de la aplicación.</w:t>
            </w:r>
          </w:p>
        </w:tc>
      </w:tr>
    </w:tbl>
    <w:sectPr>
      <w:headerReference w:type="default" r:id="rId2"/>
      <w:footerReference w:type="default" r:id="rId3"/>
      <w:pgSz w:w="12240" w:h="15840"/>
      <w:pgMar w:top="1080" w:right="900" w:bottom="1080" w:left="900" w:header="480" w:footer="4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D647A"/>
        <w:sz w:val="16"/>
      </w:rPr>
      <w:t xml:space="preserve">TD-App  ·  Documento de referencia  ·  </w:t>
    </w:r>
    <w:r>
      <w:fldSimple w:instr="PAGE">
        <w:r>
          <w:t>1</w:t>
        </w:r>
      </w:fldSimple>
    </w:r>
  </w:p>
</w:ftr>
</file>

<file path=word/header1.xml><?xml version="1.0" encoding="utf-8"?>
<w:hdr xmlns:w="http://schemas.openxmlformats.org/wordprocessingml/2006/main">
  <w:p>
    <w:pPr>
      <w:spacing w:after="90"/>
      <w:pBdr>
        <w:bottom w:val="single" w:sz="7" w:space="5" w:color="14B8A6"/>
      </w:pBdr>
    </w:pPr>
    <w:r>
      <w:rPr>
        <w:b/>
        <w:color w:val="4C1D95"/>
        <w:sz w:val="17"/>
      </w:rPr>
      <w:t>TD-APP</w:t>
    </w:r>
    <w:r>
      <w:rPr>
        <w:color w:val="6D647A"/>
        <w:sz w:val="17"/>
      </w:rPr>
      <w:t xml:space="preserve">     DOCUMENTACIÓN DEL PROYECTO Y EVIDENCIAS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color w:val="21123B"/>
      </w:rPr>
    </w:rPrDefault>
    <w:pPrDefault>
      <w:pPr>
        <w:spacing w:after="100" w:line="285" w:lineRule="auto"/>
      </w:pPr>
    </w:pPrDefault>
  </w:docDefaults>
  <w:style w:type="paragraph" w:styleId="Normal" w:default="1">
    <w:name w:val="Normal"/>
    <w:rPr/>
  </w:style>
  <w:style w:type="paragraph" w:styleId="Heading1">
    <w:name w:val="Heading1"/>
    <w:basedOn w:val="Normal"/>
    <w:pPr>
      <w:keepNext/>
      <w:keepLines/>
      <w:outlineLvl w:val="0"/>
      <w:spacing w:before="220" w:after="120"/>
    </w:pPr>
    <w:rPr>
      <w:sz w:val="36"/>
      <w:color w:val="7C3AED"/>
      <w:b/>
    </w:rPr>
  </w:style>
  <w:style w:type="paragraph" w:styleId="Heading2">
    <w:name w:val="Heading2"/>
    <w:basedOn w:val="Normal"/>
    <w:pPr>
      <w:keepNext/>
      <w:keepLines/>
      <w:outlineLvl w:val="1"/>
      <w:spacing w:before="170" w:after="90"/>
    </w:pPr>
    <w:rPr>
      <w:sz w:val="28"/>
      <w:color w:val="4C1D95"/>
      <w:b/>
    </w:rPr>
  </w:style>
  <w:style w:type="paragraph" w:styleId="Heading3">
    <w:name w:val="Heading3"/>
    <w:basedOn w:val="Normal"/>
    <w:pPr>
      <w:keepNext/>
      <w:keepLines/>
      <w:outlineLvl w:val="2"/>
      <w:spacing w:before="130" w:after="70"/>
    </w:pPr>
    <w:rPr>
      <w:sz w:val="24"/>
      <w:color w:val="14B8A6"/>
      <w:b/>
    </w:rPr>
  </w:style>
  <w:style w:type="paragraph" w:styleId="CoverTitle">
    <w:name w:val="CoverTitle"/>
    <w:rPr>
      <w:sz w:val="56"/>
      <w:color w:val="4C1D95"/>
      <w:b/>
    </w:rPr>
  </w:style>
  <w:style w:type="paragraph" w:styleId="CoverSubtitle">
    <w:name w:val="CoverSubtitle"/>
    <w:rPr>
      <w:sz w:val="32"/>
      <w:color w:val="21123B"/>
      <w:b/>
    </w:rPr>
  </w:style>
  <w:style w:type="paragraph" w:styleId="CoverMeta">
    <w:name w:val="CoverMeta"/>
    <w:rPr>
      <w:sz w:val="22"/>
      <w:color w:val="6D647A"/>
      <w:b/>
    </w:rPr>
  </w:style>
  <w:style w:type="paragraph" w:styleId="CoverTagline">
    <w:name w:val="CoverTagline"/>
    <w:rPr>
      <w:sz w:val="24"/>
      <w:color w:val="7C3AED"/>
      <w:b/>
      <w:i/>
    </w:rPr>
  </w:style>
  <w:style w:type="paragraph" w:styleId="CoverLabel">
    <w:name w:val="CoverLabel"/>
    <w:rPr>
      <w:sz w:val="20"/>
      <w:color w:val="14B8A6"/>
      <w:b/>
    </w:rPr>
  </w:style>
  <w:style w:type="paragraph" w:styleId="TableCell">
    <w:name w:val="TableCell"/>
    <w:rPr>
      <w:sz w:val="18"/>
      <w:color w:val="21123B"/>
    </w:rPr>
  </w:style>
  <w:style w:type="paragraph" w:styleId="TableHeader">
    <w:name w:val="TableHeader"/>
    <w:rPr>
      <w:sz w:val="18"/>
      <w:color w:val="FFFFFF"/>
    </w:rPr>
  </w:style>
  <w:style w:type="paragraph" w:styleId="ListItem">
    <w:name w:val="ListItem"/>
    <w:rPr>
      <w:sz w:val="22"/>
      <w:color w:val="21123B"/>
    </w:rPr>
  </w:style>
  <w:style w:type="paragraph" w:styleId="Quote">
    <w:name w:val="Quote"/>
    <w:rPr>
      <w:sz w:val="22"/>
      <w:color w:val="21123B"/>
    </w:rPr>
  </w:style>
  <w:style w:type="paragraph" w:styleId="CodeBlock">
    <w:name w:val="CodeBlock"/>
    <w:rPr>
      <w:sz w:val="18"/>
      <w:color w:val="4C1D95"/>
    </w:rPr>
  </w:style>
  <w:style w:type="paragraph" w:styleId="TOCLine">
    <w:name w:val="TOCLine"/>
    <w:rPr>
      <w:sz w:val="22"/>
      <w:color w:val="4C1D95"/>
    </w:rPr>
  </w:style>
  <w:style w:type="paragraph" w:styleId="TOCNote">
    <w:name w:val="TOCNote"/>
    <w:rPr>
      <w:sz w:val="20"/>
      <w:color w:val="6D647A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header" Target="header1.xml" /><ns0:Relationship Id="rId3" Type="http://schemas.openxmlformats.org/officeDocument/2006/relationships/footer" Target="footer1.xml" /><ns0:Relationship Id="rId4" Type="http://schemas.openxmlformats.org/officeDocument/2006/relationships/image" Target="media/logo.png" /><ns0:Relationship Id="rId5" Type="http://schemas.openxmlformats.org/officeDocument/2006/relationships/image" Target="media/evidence-01.png" /><ns0:Relationship Id="rId6" Type="http://schemas.openxmlformats.org/officeDocument/2006/relationships/image" Target="media/evidence-02.png" /><ns0:Relationship Id="rId7" Type="http://schemas.openxmlformats.org/officeDocument/2006/relationships/image" Target="media/evidence-03.png" /><ns0:Relationship Id="rId8" Type="http://schemas.openxmlformats.org/officeDocument/2006/relationships/image" Target="media/evidence-04.png" /><ns0:Relationship Id="rId9" Type="http://schemas.openxmlformats.org/officeDocument/2006/relationships/image" Target="media/evidence-05.png" /><ns0:Relationship Id="rId10" Type="http://schemas.openxmlformats.org/officeDocument/2006/relationships/image" Target="media/evidence-06.png" /><ns0:Relationship Id="rId11" Type="http://schemas.openxmlformats.org/officeDocument/2006/relationships/image" Target="media/evidence-07.png" /></ns0:Relationships>
</file>

<file path=docProps/app.xml><?xml version="1.0" encoding="utf-8"?>
<ns0:Properties xmlns:ns0="http://schemas.openxmlformats.org/officeDocument/2006/extended-properties" xmlns:ns1="http://schemas.openxmlformats.org/officeDocument/2006/docPropsVTypes">
  <ns0:Application>TD-App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>TD-App — Documentación del proyecto</ns1:lpstr>
    </ns1:vector>
  </ns0:TitlesOfParts>
</ns0:Properties>
</file>

<file path=docProps/core.xml><?xml version="1.0" encoding="utf-8"?>
<ns0:coreProperties xmlns:dc="http://purl.org/dc/elements/1.1/" xmlns:ns0="http://schemas.openxmlformats.org/package/2006/metadata/core-properties">
  <dc:title>TD-App — Documentación del proyecto</dc:title>
  <dc:creator>TD-App</dc:creator>
  <dc:subject>Proyecto, funciones, tecnologías, verificación y evidencias</dc:subject>
  <dc:language>es-MX</dc:language>
</ns0:coreProperties>
</file>