
<file path=[Content_Types].xml><?xml version="1.0" encoding="utf-8"?>
<ns0:Types xmlns:ns0="http://schemas.openxmlformats.org/package/2006/content-types">
  <ns0:Default Extension="rels" ContentType="application/vnd.openxmlformats-package.relationships+xml"/>
  <ns0:Default Extension="xml" ContentType="application/xml"/>
  <ns0:Default Extension="png" ContentType="image/png"/>
  <ns0:Override PartName="/word/document.xml" ContentType="application/vnd.openxmlformats-officedocument.wordprocessingml.document.main+xml"/>
  <ns0:Override PartName="/word/styles.xml" ContentType="application/vnd.openxmlformats-officedocument.wordprocessingml.styles+xml"/>
  <ns0:Override PartName="/word/header1.xml" ContentType="application/vnd.openxmlformats-officedocument.wordprocessingml.header+xml"/>
  <ns0:Override PartName="/word/footer1.xml" ContentType="application/vnd.openxmlformats-officedocument.wordprocessingml.footer+xml"/>
  <ns0:Override PartName="/docProps/core.xml" ContentType="application/vnd.openxmlformats-package.core-properties+xml"/>
  <ns0:Override PartName="/docProps/app.xml" ContentType="application/vnd.openxmlformats-officedocument.extended-properties+xml"/>
</ns0:Types>
</file>

<file path=_rels/.rels><?xml version='1.0' encoding='utf-8'?>
<ns0:Relationships xmlns:ns0="http://schemas.openxmlformats.org/package/2006/relationships"><ns0:Relationship Id="rId1" Type="http://schemas.openxmlformats.org/officeDocument/2006/relationships/officeDocument" Target="word/document.xml" /><ns0:Relationship Id="rId2" Type="http://schemas.openxmlformats.org/package/2006/relationships/metadata/core-properties" Target="docProps/core.xml" /><ns0:Relationship Id="rId3" Type="http://schemas.openxmlformats.org/officeDocument/2006/relationships/extended-properties" Target="docProps/app.xml" /></ns0:Relationships>
</file>

<file path=word/document.xml><?xml version="1.0" encoding="utf-8"?>
<w:document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>
  <w:body>
    <w:p>
      <w:pPr>
        <w:spacing w:after="240"/>
      </w:pPr>
    </w:p>
    <w:tbl>
      <w:tblPr>
        <w:tblW w:w="10440" w:type="dxa"/>
        <w:tblLayout w:type="fixed"/>
      </w:tblPr>
      <w:tblGrid>
        <w:gridCol w:w="3480"/>
        <w:gridCol w:w="3480"/>
        <w:gridCol w:w="3480"/>
      </w:tblGrid>
      <w:tr>
        <w:trPr>
          <w:trHeight w:val="140" w:hRule="exact"/>
        </w:trPr>
        <w:tc>
          <w:tcPr>
            <w:tcW w:w="3480" w:type="dxa"/>
            <w:shd w:fill="7C3AED" w:val="clear"/>
          </w:tcPr>
          <w:p>
            <w:pPr>
              <w:spacing w:after="0"/>
            </w:pPr>
          </w:p>
        </w:tc>
        <w:tc>
          <w:tcPr>
            <w:tcW w:w="3480" w:type="dxa"/>
            <w:shd w:fill="14B8A6" w:val="clear"/>
          </w:tcPr>
          <w:p>
            <w:pPr>
              <w:spacing w:after="0"/>
            </w:pPr>
          </w:p>
        </w:tc>
        <w:tc>
          <w:tcPr>
            <w:tcW w:w="3480" w:type="dxa"/>
            <w:shd w:fill="FBBF24" w:val="clear"/>
          </w:tcPr>
          <w:p>
            <w:pPr>
              <w:spacing w:after="0"/>
            </w:pPr>
          </w:p>
        </w:tc>
      </w:tr>
    </w:tbl>
    <w:p>
      <w:pPr>
        <w:spacing w:after="260"/>
      </w:pPr>
    </w:p>
    <w:tbl>
      <w:tblPr>
        <w:tblW w:w="10440" w:type="dxa"/>
        <w:tblLayout w:type="fixed"/>
        <w:tblBorders>
          <w:top w:val="single" w:sz="8" w:color="E6DCF5"/>
          <w:left w:val="single" w:sz="4" w:color="E6DCF5"/>
          <w:bottom w:val="single" w:sz="8" w:color="E6DCF5"/>
          <w:right w:val="single" w:sz="4" w:color="E6DCF5"/>
          <w:insideH w:val="single" w:sz="4" w:color="E6DCF5"/>
          <w:insideV w:val="single" w:sz="4" w:color="E6DCF5"/>
        </w:tblBorders>
        <w:tblCellMar>
          <w:top w:w="520" w:type="dxa"/>
          <w:start w:w="420" w:type="dxa"/>
          <w:bottom w:w="520" w:type="dxa"/>
          <w:end w:w="420" w:type="dxa"/>
        </w:tblCellMar>
      </w:tblPr>
      <w:tblGrid>
        <w:gridCol w:w="10440"/>
      </w:tblGrid>
      <w:tr>
        <w:trPr>
          <w:trHeight w:val="7200" w:hRule="atLeast"/>
        </w:trPr>
        <w:tc>
          <w:tcPr>
            <w:tcW w:w="10440" w:type="dxa"/>
            <w:shd w:fill="F7F3FF" w:val="clear"/>
            <w:vAlign w:val="center"/>
          </w:tcPr>
          <w:p>
            <w:pPr>
              <w:pStyle w:val="CoverLabel"/>
              <w:jc w:val="center"/>
              <w:spacing w:after="230"/>
            </w:pPr>
            <w:r>
              <w:rPr>
                <w:b/>
                <w:color w:val="14B8A6"/>
                <w:sz w:val="19"/>
              </w:rPr>
              <w:t>DOCUMENTO DE REFERENCIA</w:t>
            </w:r>
          </w:p>
          <w:p>
            <w:pPr>
              <w:jc w:val="center"/>
              <w:spacing w:after="240"/>
            </w:pPr>
            <w:r>
              <w:drawing>
                <wp:inline distT="0" distB="0" distL="0" distR="0">
                  <wp:extent cx="1645920" cy="1645920"/>
                  <wp:effectExtent l="0" t="0" r="0" b="0"/>
                  <wp:docPr id="1" name="Logo TD-App" descr="Logotipo oficial de TD-App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0" cy="16459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verTitle"/>
              <w:jc w:val="center"/>
              <w:spacing w:after="120"/>
            </w:pPr>
            <w:r>
              <w:rPr>
                <w:b/>
                <w:color w:val="4C1D95"/>
                <w:sz w:val="56"/>
              </w:rPr>
              <w:t>TD-App</w:t>
            </w:r>
          </w:p>
          <w:p>
            <w:pPr>
              <w:pStyle w:val="CoverSubtitle"/>
              <w:jc w:val="center"/>
              <w:spacing w:after="260"/>
            </w:pPr>
            <w:r>
              <w:rPr>
                <w:color w:val="21123B"/>
                <w:sz w:val="32"/>
              </w:rPr>
              <w:t>Resumen del proyecto y persistencia</w:t>
            </w:r>
          </w:p>
          <w:p>
            <w:pPr>
              <w:pStyle w:val="CoverMeta"/>
              <w:jc w:val="center"/>
              <w:spacing w:after="80"/>
            </w:pPr>
            <w:r>
              <w:rPr>
                <w:color w:val="6D647A"/>
                <w:sz w:val="21"/>
              </w:rPr>
              <w:t>Android  ·  Organización  ·  Sincronización</w:t>
            </w:r>
          </w:p>
          <w:p>
            <w:pPr>
              <w:pStyle w:val="CoverTagline"/>
              <w:jc w:val="center"/>
              <w:spacing w:before="220"/>
            </w:pPr>
            <w:r>
              <w:rPr>
                <w:i/>
                <w:color w:val="7C3AED"/>
                <w:sz w:val="22"/>
              </w:rPr>
              <w:t>Pequeños pasos, grandes avances</w:t>
            </w:r>
          </w:p>
        </w:tc>
      </w:tr>
    </w:tbl>
    <w:p>
      <w:pPr>
        <w:spacing w:after="220"/>
      </w:pPr>
    </w:p>
    <w:p>
      <w:pPr>
        <w:jc w:val="center"/>
        <w:spacing w:after="180"/>
      </w:pPr>
      <w:r>
        <w:rPr>
          <w:color w:val="6D647A"/>
        </w:rPr>
        <w:t>Funciones principales · persistencia · alcance actual</w:t>
      </w:r>
    </w:p>
    <w:p>
      <w:r>
        <w:br w:type="page"/>
      </w:r>
    </w:p>
    <w:p>
      <w:pPr>
        <w:pStyle w:val="Heading1"/>
        <w:spacing w:before="250" w:after="110"/>
        <w:keepNext/>
      </w:pPr>
      <w:r>
        <w:rPr/>
        <w:t>Qué es TD-App</w:t>
      </w:r>
    </w:p>
    <w:p>
      <w:pPr>
        <w:pStyle w:val="Normal"/>
        <w:spacing w:after="100"/>
      </w:pPr>
      <w:r>
        <w:rPr/>
        <w:t>TD-App es una aplicación Android para organizar metas, trabajar en bloques de concentración y dar seguimiento al progreso. La experiencia combina misiones, Pomodoro, retos, notas, recordatorios y recompensas internas.</w:t>
      </w:r>
    </w:p>
    <w:p>
      <w:pPr>
        <w:pStyle w:val="Heading1"/>
        <w:spacing w:before="250" w:after="110"/>
        <w:keepNext/>
      </w:pPr>
      <w:r>
        <w:rPr/>
        <w:t>Funciones principales</w:t>
      </w:r>
    </w:p>
    <w:p>
      <w:pPr>
        <w:pStyle w:val="ListItem"/>
        <w:spacing w:after="45"/>
      </w:pPr>
      <w:r>
        <w:rPr/>
        <w:t xml:space="preserve">•  </w:t>
      </w:r>
      <w:r>
        <w:rPr>
          <w:b/>
        </w:rPr>
        <w:t>Misiones:</w:t>
      </w:r>
      <w:r>
        <w:rPr/>
        <w:t xml:space="preserve"> convertir una meta en pasos concretos y actualizar su progreso.</w:t>
      </w:r>
    </w:p>
    <w:p>
      <w:pPr>
        <w:pStyle w:val="ListItem"/>
        <w:spacing w:after="45"/>
      </w:pPr>
      <w:r>
        <w:rPr/>
        <w:t xml:space="preserve">•  </w:t>
      </w:r>
      <w:r>
        <w:rPr>
          <w:b/>
        </w:rPr>
        <w:t>Pomodoro y rachas:</w:t>
      </w:r>
      <w:r>
        <w:rPr/>
        <w:t xml:space="preserve"> registrar sesiones completadas y actividad diaria.</w:t>
      </w:r>
    </w:p>
    <w:p>
      <w:pPr>
        <w:pStyle w:val="ListItem"/>
        <w:spacing w:after="45"/>
      </w:pPr>
      <w:r>
        <w:rPr/>
        <w:t xml:space="preserve">•  </w:t>
      </w:r>
      <w:r>
        <w:rPr>
          <w:b/>
        </w:rPr>
        <w:t>Retos:</w:t>
      </w:r>
      <w:r>
        <w:rPr/>
        <w:t xml:space="preserve"> escribir o dictar un reto y, si se solicita, recibir un plan breve con pasos de acción y recordatorios.</w:t>
      </w:r>
    </w:p>
    <w:p>
      <w:pPr>
        <w:pStyle w:val="ListItem"/>
        <w:spacing w:after="45"/>
      </w:pPr>
      <w:r>
        <w:rPr/>
        <w:t xml:space="preserve">•  </w:t>
      </w:r>
      <w:r>
        <w:rPr>
          <w:b/>
        </w:rPr>
        <w:t>Notas y dictado:</w:t>
      </w:r>
      <w:r>
        <w:rPr/>
        <w:t xml:space="preserve"> guardar texto; el audio original no se conserva como historial.</w:t>
      </w:r>
    </w:p>
    <w:p>
      <w:pPr>
        <w:pStyle w:val="ListItem"/>
        <w:spacing w:after="45"/>
      </w:pPr>
      <w:r>
        <w:rPr/>
        <w:t xml:space="preserve">•  </w:t>
      </w:r>
      <w:r>
        <w:rPr>
          <w:b/>
        </w:rPr>
        <w:t>Recordatorios:</w:t>
      </w:r>
      <w:r>
        <w:rPr/>
        <w:t xml:space="preserve"> configurar horarios, categorías y periodos de silencio en el dispositivo.</w:t>
      </w:r>
    </w:p>
    <w:p>
      <w:pPr>
        <w:pStyle w:val="ListItem"/>
        <w:spacing w:after="45"/>
      </w:pPr>
      <w:r>
        <w:rPr/>
        <w:t xml:space="preserve">•  </w:t>
      </w:r>
      <w:r>
        <w:rPr>
          <w:b/>
        </w:rPr>
        <w:t>TD-Coins:</w:t>
      </w:r>
      <w:r>
        <w:rPr/>
        <w:t xml:space="preserve"> visualizar recompensas internas asociadas al progreso.</w:t>
      </w:r>
    </w:p>
    <w:p>
      <w:pPr>
        <w:pStyle w:val="Heading1"/>
        <w:spacing w:before="250" w:after="110"/>
        <w:keepNext/>
      </w:pPr>
      <w:r>
        <w:rPr/>
        <w:t>Cómo se conecta para guardar los datos</w:t>
      </w:r>
    </w:p>
    <w:p>
      <w:pPr>
        <w:pStyle w:val="ListItem"/>
        <w:spacing w:after="55"/>
      </w:pPr>
      <w:r>
        <w:rPr/>
        <w:t>1.  La app guarda primero el estado en el teléfono para que el progreso siga disponible sin conexión.</w:t>
      </w:r>
    </w:p>
    <w:p>
      <w:pPr>
        <w:pStyle w:val="ListItem"/>
        <w:spacing w:after="55"/>
      </w:pPr>
      <w:r>
        <w:rPr/>
        <w:t xml:space="preserve">2.  Cuando la persona inicia sesión y tiene internet, la app envía el estado en formato JSON por HTTPS a </w:t>
      </w:r>
      <w:r>
        <w:rPr>
          <w:b/>
        </w:rPr>
        <w:t>https://td-app.replit.app</w:t>
      </w:r>
      <w:r>
        <w:rPr/>
        <w:t>.</w:t>
      </w:r>
    </w:p>
    <w:p>
      <w:pPr>
        <w:pStyle w:val="ListItem"/>
        <w:spacing w:after="55"/>
      </w:pPr>
      <w:r>
        <w:rPr/>
        <w:t>3.  Ese dominio es la API de TD-App, no la base de datos. La API verifica la sesión y guarda el estado de cada cuenta en PostgreSQL.</w:t>
      </w:r>
    </w:p>
    <w:p>
      <w:pPr>
        <w:pStyle w:val="ListItem"/>
        <w:spacing w:after="55"/>
      </w:pPr>
      <w:r>
        <w:rPr/>
        <w:t>4.  El servidor devuelve el estado combinado y la app lo actualiza. Las operaciones se identifican para evitar aplicar dos veces un mismo reintento.</w:t>
      </w:r>
    </w:p>
    <w:p>
      <w:pPr>
        <w:pStyle w:val="ListItem"/>
        <w:spacing w:after="55"/>
      </w:pPr>
      <w:r>
        <w:rPr/>
        <w:t>5.  Si no hay conexión, los cambios permanecen en el teléfono y la app vuelve a intentar sincronizar mientras está activa. No es una tarea garantizada en segundo plano.</w:t>
      </w:r>
    </w:p>
    <w:p>
      <w:pPr>
        <w:pStyle w:val="Heading1"/>
        <w:spacing w:before="250" w:after="110"/>
        <w:keepNext/>
      </w:pPr>
      <w:r>
        <w:rPr/>
        <w:t>Qué se sincroniza y qué permanece local</w:t>
      </w:r>
    </w:p>
    <w:p>
      <w:pPr>
        <w:pStyle w:val="ListItem"/>
        <w:spacing w:after="45"/>
      </w:pPr>
      <w:r>
        <w:rPr/>
        <w:t xml:space="preserve">•  </w:t>
      </w:r>
      <w:r>
        <w:rPr>
          <w:b/>
        </w:rPr>
        <w:t>Se sincroniza:</w:t>
      </w:r>
      <w:r>
        <w:rPr/>
        <w:t xml:space="preserve"> misiones y progreso, retos, notas en texto, TD-Coins y eventos, compras internas, rachas y Pomodoros completados.</w:t>
      </w:r>
    </w:p>
    <w:p>
      <w:pPr>
        <w:pStyle w:val="ListItem"/>
        <w:spacing w:after="45"/>
      </w:pPr>
      <w:r>
        <w:rPr/>
        <w:t xml:space="preserve">•  </w:t>
      </w:r>
      <w:r>
        <w:rPr>
          <w:b/>
        </w:rPr>
        <w:t>Permanece en el dispositivo:</w:t>
      </w:r>
      <w:r>
        <w:rPr/>
        <w:t xml:space="preserve"> horarios de recordatorios, periodos de silencio y controles temporales del Pomodoro.</w:t>
      </w:r>
    </w:p>
    <w:p>
      <w:pPr>
        <w:pStyle w:val="ListItem"/>
        <w:spacing w:after="45"/>
      </w:pPr>
      <w:r>
        <w:rPr/>
        <w:t xml:space="preserve">•  </w:t>
      </w:r>
      <w:r>
        <w:rPr>
          <w:b/>
        </w:rPr>
        <w:t>Audio:</w:t>
      </w:r>
      <w:r>
        <w:rPr/>
        <w:t xml:space="preserve"> se conserva el texto reconocido, no un historial de grabaciones.</w:t>
      </w:r>
    </w:p>
    <w:p>
      <w:pPr>
        <w:pStyle w:val="Normal"/>
        <w:spacing w:after="100"/>
      </w:pPr>
      <w:r>
        <w:rPr/>
        <w:t>La sincronización remota requiere una cuenta y conexión. Los recordatorios no se trasladan entre dispositivos.</w:t>
      </w:r>
    </w:p>
    <w:p>
      <w:pPr>
        <w:pStyle w:val="Heading1"/>
        <w:spacing w:before="250" w:after="110"/>
        <w:keepNext/>
      </w:pPr>
      <w:r>
        <w:rPr/>
        <w:t>Servicios conectados</w:t>
      </w:r>
    </w:p>
    <w:p>
      <w:pPr>
        <w:pStyle w:val="ListItem"/>
        <w:spacing w:after="45"/>
      </w:pPr>
      <w:r>
        <w:rPr/>
        <w:t xml:space="preserve">•  </w:t>
      </w:r>
      <w:r>
        <w:rPr>
          <w:b/>
        </w:rPr>
        <w:t>Resend:</w:t>
      </w:r>
      <w:r>
        <w:rPr/>
        <w:t xml:space="preserve"> entrega correos con códigos de recuperación de cuenta.</w:t>
      </w:r>
    </w:p>
    <w:p>
      <w:pPr>
        <w:pStyle w:val="ListItem"/>
        <w:spacing w:after="45"/>
      </w:pPr>
      <w:r>
        <w:rPr/>
        <w:t xml:space="preserve">•  </w:t>
      </w:r>
      <w:r>
        <w:rPr>
          <w:b/>
        </w:rPr>
        <w:t>Gemini:</w:t>
      </w:r>
      <w:r>
        <w:rPr/>
        <w:t xml:space="preserve"> propone planes para retos cuando la persona lo solicita. El texto del reto se envía al servicio para generar el plan.</w:t>
      </w:r>
    </w:p>
    <w:p>
      <w:pPr>
        <w:pStyle w:val="ListItem"/>
        <w:spacing w:after="45"/>
      </w:pPr>
      <w:r>
        <w:rPr/>
        <w:t xml:space="preserve">•  </w:t>
      </w:r>
      <w:r>
        <w:rPr>
          <w:b/>
        </w:rPr>
        <w:t>Reconocimiento de voz de Android:</w:t>
      </w:r>
      <w:r>
        <w:rPr/>
        <w:t xml:space="preserve"> convierte dictado en texto. La disponibilidad sin conexión depende del dispositivo; también se puede escribir manualmente.</w:t>
      </w:r>
    </w:p>
    <w:p>
      <w:pPr>
        <w:pStyle w:val="Heading1"/>
        <w:spacing w:before="250" w:after="110"/>
        <w:keepNext/>
      </w:pPr>
      <w:r>
        <w:rPr/>
        <w:t>Seguridad y alcance actual</w:t>
      </w:r>
    </w:p>
    <w:p>
      <w:pPr>
        <w:pStyle w:val="ListItem"/>
        <w:spacing w:after="45"/>
      </w:pPr>
      <w:r>
        <w:rPr/>
        <w:t>•  La API exige una sesión para sincronizar datos y generar planes.</w:t>
      </w:r>
    </w:p>
    <w:p>
      <w:pPr>
        <w:pStyle w:val="ListItem"/>
        <w:spacing w:after="45"/>
      </w:pPr>
      <w:r>
        <w:rPr/>
        <w:t>•  Las contraseñas se guardan como hashes; los tokens de sesión se validan en el servidor y vencen a los 30 días.</w:t>
      </w:r>
    </w:p>
    <w:p>
      <w:pPr>
        <w:pStyle w:val="ListItem"/>
        <w:spacing w:after="45"/>
      </w:pPr>
      <w:r>
        <w:rPr/>
        <w:t>•  La app guarda el token en almacenamiento privado del teléfono, que no equivale a almacenamiento cifrado.</w:t>
      </w:r>
    </w:p>
    <w:p>
      <w:pPr>
        <w:pStyle w:val="ListItem"/>
        <w:spacing w:after="45"/>
      </w:pPr>
      <w:r>
        <w:rPr/>
        <w:t>•  Las notificaciones son locales y Android puede retrasar su entrega.</w:t>
      </w:r>
    </w:p>
    <w:p>
      <w:pPr>
        <w:pStyle w:val="ListItem"/>
        <w:spacing w:after="45"/>
      </w:pPr>
      <w:r>
        <w:rPr/>
        <w:t>•  Las TD-Coins y las compras son funciones internas: no procesan pagos ni incluyen inventario o entrega de productos.</w:t>
      </w:r>
    </w:p>
    <w:p>
      <w:pPr>
        <w:pStyle w:val="ListItem"/>
        <w:spacing w:after="45"/>
      </w:pPr>
      <w:r>
        <w:rPr/>
        <w:t>•  TD-App es una herramienta de organización y acompañamiento; no diagnostica ni sustituye atención profesional.</w:t>
      </w:r>
    </w:p>
    <w:p>
      <w:pPr>
        <w:pStyle w:val="Heading1"/>
        <w:spacing w:before="250" w:after="110"/>
        <w:keepNext/>
      </w:pPr>
      <w:r>
        <w:rPr/>
        <w:t>Resumen</w:t>
      </w:r>
    </w:p>
    <w:p>
      <w:pPr>
        <w:pStyle w:val="Normal"/>
        <w:spacing w:after="100"/>
      </w:pPr>
      <w:r>
        <w:rPr/>
        <w:t xml:space="preserve">TD-App guarda primero el progreso en Android y, con sesión e internet, lo sincroniza mediante su API en </w:t>
      </w:r>
      <w:r>
        <w:rPr>
          <w:b/>
        </w:rPr>
        <w:t>https://td-app.replit.app</w:t>
      </w:r>
      <w:r>
        <w:rPr/>
        <w:t xml:space="preserve"> con PostgreSQL. Los recordatorios y algunos controles permanecen locales. La sincronización, el dictado y las notificaciones dependen de la conexión y de las capacidades del dispositivo.</w:t>
      </w:r>
    </w:p>
    <w:sectPr>
      <w:headerReference w:type="default" r:id="rId2"/>
      <w:footerReference w:type="default" r:id="rId3"/>
      <w:pgSz w:w="12240" w:h="15840"/>
      <w:pgMar w:top="1080" w:right="900" w:bottom="1080" w:left="900" w:header="480" w:footer="48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rPr>
        <w:color w:val="6D647A"/>
        <w:sz w:val="16"/>
      </w:rPr>
      <w:t xml:space="preserve">TD-App  ·  Documento de referencia  ·  </w:t>
    </w:r>
    <w:r>
      <w:fldSimple w:instr="PAGE">
        <w:r>
          <w:t>1</w:t>
        </w:r>
      </w:fldSimple>
    </w:r>
  </w:p>
</w:ftr>
</file>

<file path=word/header1.xml><?xml version="1.0" encoding="utf-8"?>
<w:hdr xmlns:w="http://schemas.openxmlformats.org/wordprocessingml/2006/main">
  <w:p>
    <w:pPr>
      <w:spacing w:after="90"/>
      <w:pBdr>
        <w:bottom w:val="single" w:sz="7" w:space="5" w:color="14B8A6"/>
      </w:pBdr>
    </w:pPr>
    <w:r>
      <w:rPr>
        <w:b/>
        <w:color w:val="4C1D95"/>
        <w:sz w:val="17"/>
      </w:rPr>
      <w:t>TD-APP</w:t>
    </w:r>
    <w:r>
      <w:rPr>
        <w:color w:val="6D647A"/>
        <w:sz w:val="17"/>
      </w:rPr>
      <w:t xml:space="preserve">     GUÍA TÉCNICA Y DE PRESENTACIÓN</w:t>
    </w:r>
  </w:p>
</w:hdr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color w:val="21123B"/>
      </w:rPr>
    </w:rPrDefault>
    <w:pPrDefault>
      <w:pPr>
        <w:spacing w:after="100" w:line="285" w:lineRule="auto"/>
      </w:pPr>
    </w:pPrDefault>
  </w:docDefaults>
  <w:style w:type="paragraph" w:styleId="Normal" w:default="1">
    <w:name w:val="Normal"/>
    <w:rPr/>
  </w:style>
  <w:style w:type="paragraph" w:styleId="Heading1">
    <w:name w:val="Heading1"/>
    <w:basedOn w:val="Normal"/>
    <w:pPr>
      <w:keepNext/>
      <w:keepLines/>
      <w:outlineLvl w:val="0"/>
      <w:spacing w:before="220" w:after="120"/>
    </w:pPr>
    <w:rPr>
      <w:sz w:val="36"/>
      <w:color w:val="7C3AED"/>
      <w:b/>
    </w:rPr>
  </w:style>
  <w:style w:type="paragraph" w:styleId="Heading2">
    <w:name w:val="Heading2"/>
    <w:basedOn w:val="Normal"/>
    <w:pPr>
      <w:keepNext/>
      <w:keepLines/>
      <w:outlineLvl w:val="1"/>
      <w:spacing w:before="170" w:after="90"/>
    </w:pPr>
    <w:rPr>
      <w:sz w:val="28"/>
      <w:color w:val="4C1D95"/>
      <w:b/>
    </w:rPr>
  </w:style>
  <w:style w:type="paragraph" w:styleId="Heading3">
    <w:name w:val="Heading3"/>
    <w:basedOn w:val="Normal"/>
    <w:pPr>
      <w:keepNext/>
      <w:keepLines/>
      <w:outlineLvl w:val="2"/>
      <w:spacing w:before="130" w:after="70"/>
    </w:pPr>
    <w:rPr>
      <w:sz w:val="24"/>
      <w:color w:val="14B8A6"/>
      <w:b/>
    </w:rPr>
  </w:style>
  <w:style w:type="paragraph" w:styleId="CoverTitle">
    <w:name w:val="CoverTitle"/>
    <w:rPr>
      <w:sz w:val="56"/>
      <w:color w:val="4C1D95"/>
      <w:b/>
    </w:rPr>
  </w:style>
  <w:style w:type="paragraph" w:styleId="CoverSubtitle">
    <w:name w:val="CoverSubtitle"/>
    <w:rPr>
      <w:sz w:val="32"/>
      <w:color w:val="21123B"/>
      <w:b/>
    </w:rPr>
  </w:style>
  <w:style w:type="paragraph" w:styleId="CoverMeta">
    <w:name w:val="CoverMeta"/>
    <w:rPr>
      <w:sz w:val="22"/>
      <w:color w:val="6D647A"/>
      <w:b/>
    </w:rPr>
  </w:style>
  <w:style w:type="paragraph" w:styleId="CoverTagline">
    <w:name w:val="CoverTagline"/>
    <w:rPr>
      <w:sz w:val="24"/>
      <w:color w:val="7C3AED"/>
      <w:b/>
      <w:i/>
    </w:rPr>
  </w:style>
  <w:style w:type="paragraph" w:styleId="CoverLabel">
    <w:name w:val="CoverLabel"/>
    <w:rPr>
      <w:sz w:val="20"/>
      <w:color w:val="14B8A6"/>
      <w:b/>
    </w:rPr>
  </w:style>
  <w:style w:type="paragraph" w:styleId="TableCell">
    <w:name w:val="TableCell"/>
    <w:rPr>
      <w:sz w:val="18"/>
      <w:color w:val="21123B"/>
    </w:rPr>
  </w:style>
  <w:style w:type="paragraph" w:styleId="TableHeader">
    <w:name w:val="TableHeader"/>
    <w:rPr>
      <w:sz w:val="18"/>
      <w:color w:val="FFFFFF"/>
    </w:rPr>
  </w:style>
  <w:style w:type="paragraph" w:styleId="ListItem">
    <w:name w:val="ListItem"/>
    <w:rPr>
      <w:sz w:val="22"/>
      <w:color w:val="21123B"/>
    </w:rPr>
  </w:style>
  <w:style w:type="paragraph" w:styleId="Quote">
    <w:name w:val="Quote"/>
    <w:rPr>
      <w:sz w:val="22"/>
      <w:color w:val="21123B"/>
    </w:rPr>
  </w:style>
  <w:style w:type="paragraph" w:styleId="CodeBlock">
    <w:name w:val="CodeBlock"/>
    <w:rPr>
      <w:sz w:val="18"/>
      <w:color w:val="4C1D95"/>
    </w:rPr>
  </w:style>
  <w:style w:type="paragraph" w:styleId="TOCLine">
    <w:name w:val="TOCLine"/>
    <w:rPr>
      <w:sz w:val="22"/>
      <w:color w:val="4C1D95"/>
    </w:rPr>
  </w:style>
  <w:style w:type="paragraph" w:styleId="TOCNote">
    <w:name w:val="TOCNote"/>
    <w:rPr>
      <w:sz w:val="20"/>
      <w:color w:val="6D647A"/>
    </w:rPr>
  </w:style>
</w:styles>
</file>

<file path=word/_rels/document.xml.rels><?xml version='1.0' encoding='utf-8'?>
<ns0:Relationships xmlns:ns0="http://schemas.openxmlformats.org/package/2006/relationships"><ns0:Relationship Id="rId1" Type="http://schemas.openxmlformats.org/officeDocument/2006/relationships/styles" Target="styles.xml" /><ns0:Relationship Id="rId2" Type="http://schemas.openxmlformats.org/officeDocument/2006/relationships/header" Target="header1.xml" /><ns0:Relationship Id="rId3" Type="http://schemas.openxmlformats.org/officeDocument/2006/relationships/footer" Target="footer1.xml" /><ns0:Relationship Id="rId4" Type="http://schemas.openxmlformats.org/officeDocument/2006/relationships/image" Target="media/logo.png" /></ns0:Relationships>
</file>

<file path=docProps/app.xml><?xml version="1.0" encoding="utf-8"?>
<ns0:Properties xmlns:ns0="http://schemas.openxmlformats.org/officeDocument/2006/extended-properties" xmlns:ns1="http://schemas.openxmlformats.org/officeDocument/2006/docPropsVTypes">
  <ns0:Application>TD-App</ns0:Application>
  <ns0:DocSecurity>0</ns0:DocSecurity>
  <ns0:ScaleCrop>false</ns0:ScaleCrop>
  <ns0:HeadingPairs>
    <ns1:vector size="2" baseType="variant">
      <ns1:variant>
        <ns1:lpstr>Title</ns1:lpstr>
      </ns1:variant>
      <ns1:variant>
        <ns1:i4>1</ns1:i4>
      </ns1:variant>
    </ns1:vector>
  </ns0:HeadingPairs>
  <ns0:TitlesOfParts>
    <ns1:vector size="1" baseType="lpstr">
      <ns1:lpstr>TD-App — Resumen del proyecto y persistencia</ns1:lpstr>
    </ns1:vector>
  </ns0:TitlesOfParts>
</ns0:Properties>
</file>

<file path=docProps/core.xml><?xml version="1.0" encoding="utf-8"?>
<ns0:coreProperties xmlns:dc="http://purl.org/dc/elements/1.1/" xmlns:ns0="http://schemas.openxmlformats.org/package/2006/metadata/core-properties">
  <dc:title>TD-App — Resumen del proyecto y persistencia</dc:title>
  <dc:creator>TD-App</dc:creator>
  <dc:subject>Funciones, persistencia de datos, API y alcance actual</dc:subject>
  <dc:language>es-MX</dc:language>
</ns0:coreProperties>
</file>