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11162" cy="4596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1162" cy="459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Engenharia de Software</w:t>
      </w:r>
    </w:p>
    <w:p w:rsidR="00000000" w:rsidDel="00000000" w:rsidP="00000000" w:rsidRDefault="00000000" w:rsidRPr="00000000" w14:paraId="00000003">
      <w:pPr>
        <w:widowControl w:val="0"/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sz w:val="10"/>
          <w:szCs w:val="10"/>
        </w:rPr>
      </w:pPr>
      <w:r w:rsidDel="00000000" w:rsidR="00000000" w:rsidRPr="00000000">
        <w:rPr>
          <w:sz w:val="24"/>
          <w:szCs w:val="24"/>
          <w:rtl w:val="0"/>
        </w:rPr>
        <w:t xml:space="preserve">David Guilherme B. Denunci</w:t>
      </w:r>
      <w:r w:rsidDel="00000000" w:rsidR="00000000" w:rsidRPr="00000000">
        <w:rPr>
          <w:sz w:val="4"/>
          <w:szCs w:val="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(RM 98603)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</w:t>
      </w:r>
      <w:r w:rsidDel="00000000" w:rsidR="00000000" w:rsidRPr="00000000">
        <w:rPr>
          <w:sz w:val="24"/>
          <w:szCs w:val="24"/>
          <w:rtl w:val="0"/>
        </w:rPr>
        <w:t xml:space="preserve">Palamartschuk</w:t>
      </w:r>
      <w:r w:rsidDel="00000000" w:rsidR="00000000" w:rsidRPr="00000000">
        <w:rPr>
          <w:sz w:val="24"/>
          <w:szCs w:val="24"/>
          <w:rtl w:val="0"/>
        </w:rPr>
        <w:t xml:space="preserve"> de Toledo (</w:t>
      </w:r>
      <w:r w:rsidDel="00000000" w:rsidR="00000000" w:rsidRPr="00000000">
        <w:rPr>
          <w:sz w:val="24"/>
          <w:szCs w:val="24"/>
          <w:rtl w:val="0"/>
        </w:rPr>
        <w:t xml:space="preserve">RM 97913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Fernando Popolili (RM 99919)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Zanardi (RM 98832)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Augusto Milreu (RM 98245)</w:t>
      </w:r>
    </w:p>
    <w:p w:rsidR="00000000" w:rsidDel="00000000" w:rsidP="00000000" w:rsidRDefault="00000000" w:rsidRPr="00000000" w14:paraId="0000000A">
      <w:pPr>
        <w:widowControl w:val="0"/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GS - Applied Computer Vision</w:t>
      </w:r>
    </w:p>
    <w:p w:rsidR="00000000" w:rsidDel="00000000" w:rsidP="00000000" w:rsidRDefault="00000000" w:rsidRPr="00000000" w14:paraId="0000000D">
      <w:pPr>
        <w:widowControl w:val="0"/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0E">
      <w:pPr>
        <w:widowControl w:val="0"/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Orientador: Paulo Sergio Silvia</w:t>
      </w:r>
    </w:p>
    <w:p w:rsidR="00000000" w:rsidDel="00000000" w:rsidP="00000000" w:rsidRDefault="00000000" w:rsidRPr="00000000" w14:paraId="00000012">
      <w:pPr>
        <w:widowControl w:val="0"/>
        <w:spacing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013">
      <w:pPr>
        <w:widowControl w:val="0"/>
        <w:spacing w:before="240" w:line="360" w:lineRule="auto"/>
        <w:ind w:left="360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widowControl w:val="0"/>
        <w:spacing w:before="240" w:line="360" w:lineRule="auto"/>
        <w:ind w:left="360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240" w:line="360" w:lineRule="auto"/>
        <w:ind w:left="360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240" w:line="360" w:lineRule="auto"/>
        <w:ind w:left="360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EpiSat é uma plataforma de inteligência epidemiológica que utiliza dados satelitais do programa Copernicus/Sentinel-2 (ESA) para antecipar surtos de doenças transmitidas por vetores — dengue, malária, leishmaniose e leptospirose — com 2 a 4 semanas de antecedência. A plataforma combina sensoriamento remoto orbital, modelos de machine learning e visão computacional para transformar imagens satelitais em alertas epidemiológicos acionáveis para gestores de saúde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é composto por dois componentes principais: o EpiSat (motor de classificação ambiental e predição de risco) e o Controllus (dashboard 3D de visualização e apoio à decisão), formando um sistema coeso que cobre desde a ingestão de dados orbitais até a apresentação interativa de alertas ao usuário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Doenças vetoriais como dengue e malária são fortemente influenciadas por condições ambientais: presença de corpos d’água, temperatura, umidade, cobertura vegetal e urbanização. O sistema de vigilância epidemiológica atual opera de forma majoritariamente reativa — alertas são emitidos após confirmação laboratorial de casos, quando o surto já está em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Semanas de atraso entre início do surto e ações de controle vetorial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 de saúde alocados de forma ineficiente por falta de previsão geográfica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Populações vulneráveis em regiões remotas sem cobertura preventiva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 elevado de hospitalização por casos que poderiam ser prevenidos</w:t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hipótese central do EpiSat é que padrões ambientais capturados por satélite precedem o aumento de casos em semanas e que é possível detectar esses padrões automaticamente com visão computacional aplicada a imagens orbitais.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A Solução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Arquitetura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Dados brutos são coletados de fontes satelitais abertas, principalmente o Sentinel-2 (ESA/Copernicus) e a NASA FIRMS. O pipeline de ingestão é orquestrado via Apache Airflow, com ETL automatizado que normaliza, classifica e carrega os dados no banco analítico.</w:t>
      </w:r>
    </w:p>
    <w:p w:rsidR="00000000" w:rsidDel="00000000" w:rsidP="00000000" w:rsidRDefault="00000000" w:rsidRPr="00000000" w14:paraId="0000002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tl w:val="0"/>
        </w:rPr>
        <w:t xml:space="preserve">4. Classificação Ambiental por Visão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Classificar imagens satelitais RGB derivadas do Sentinel-2 em quatro categorias ambientais relacionadas à vigilância epidemiológica, utilizando redes neurais convolucionais treinadas do zero,  sem uso de modelos pré-treinados ou transfer learning. Essa identificação auxiliará o modelo de risco final, que possui diversas métricas.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. Dataset, Preparação dos Dados e Pré-processamento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treinar os modelos de visão computacional, precisamos de imagens satelitais já rotuladas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 seja, imagens em que cada patch de terra já tem uma categoria definida. O dataset escolhido foi o EuroSAT RGB, disponível diretamente via </w:t>
      </w:r>
      <w:r w:rsidDel="00000000" w:rsidR="00000000" w:rsidRPr="00000000">
        <w:rPr>
          <w:rtl w:val="0"/>
        </w:rPr>
        <w:t xml:space="preserve">torch vision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e a escolha não foi arbitrária: o EuroSAT foi construído especificamente a partir de imagens reais do satélite Sentinel-2, o mesmo satélite que alimenta o EpiSat em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imagem do dataset tem 64×64 pixels em 3 canais RGB, com resolução espacial de 10 metros por pixel. Isso significa que cada imagem cobre uma área de aproximadamente 640 metros × 640 metros no solo</w:t>
      </w:r>
      <w:r w:rsidDel="00000000" w:rsidR="00000000" w:rsidRPr="00000000">
        <w:rPr>
          <w:rtl w:val="0"/>
        </w:rPr>
        <w:t xml:space="preserve"> - 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scala suficiente para identificar cobertura de solo com precisão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.1 Remapeamento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EuroSAT original possui 10 classes de uso do solo. Para o EpiSat, reorganizamos essas classes em 4 categorias operacionais, cada uma com justificativa direta na dinâmica de vetores de doenças: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00"/>
        <w:gridCol w:w="3200"/>
        <w:tblGridChange w:id="0">
          <w:tblGrid>
            <w:gridCol w:w="2800"/>
            <w:gridCol w:w="30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Classe EpiSat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Classes EuroSAT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Relevância epidemiológica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corpos_agua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River, SeaLake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Corpos hídricos e criadouros potenciais de vetores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vegetacao_densa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Forest, HerbaceousVegetation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Umidade, sombreamento, microambientes favoráveis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area_urbana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Residential, Industrial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Concentração populacional e drenagem inadequada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area_agricola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AnnualCrop, Pasture, PermanentCrop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Irrigação, solo exposto, proximidade de água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.2 Balanceamento e Divisão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das decisões mais importantes no preparo do dataset foi garantir o balanceamento entre classes. Datasets desbalanceados enganam o modelo: ele aprende a acertar a classe mais frequente e ignora as demais. Para evitar isso, selecionamos exatamente 1.000 imagens por classe, totalizando 4.000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divisão entre treino, validação e teste foi feita de forma estratificada, garantindo que a mesma proporção de cada classe aparece nos três subconjuntos: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Treino: 70% — 2.800 imagens (700 por classe)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Validação: 15% — 600 imagens (150 por classe), usadas para monitorar overfitting durante o treino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Teste: 15% — 600 imagens (150 por classe), reservadas exclusivamente para avaliação final</w:t>
      </w:r>
    </w:p>
    <w:p w:rsidR="00000000" w:rsidDel="00000000" w:rsidP="00000000" w:rsidRDefault="00000000" w:rsidRPr="00000000" w14:paraId="0000004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.3 Pré-processamento e Data Augmentation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pré-processamento tem dois objetivos distintos: padronizar as imagens para que o modelo receba inputs coerentes, e artificialmente aumentar a variedade do conjunto de treino para que o modelo aprenda a generalizar.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o conjunto de treino, aplicamos um conjunto de transformações mais agressivo, chamado de data augmentation. A lógica é simples: imagens satelitais não têm orientação preferencial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uma floresta não muda de categoria se a imagem for girada 90 graus. Por isso, flips horizontais e verticais, rotações de até 45 graus e pequenos recortes aleatórios são transformações completamente válidas que aumentam artificialmente a diversidade dos dados de treino sem introduzir erros de rotulação.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Validação e teste recebem apenas redimensionamento e normalização sem augmentation. Isso é intencional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queremos avaliar o modelo em condições realistas, não em versões artificialmente fáceis das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normalização utiliza os valores médios e desvios padrão do ImageNet (mean=[0.485, 0.456, 0.406], std=[0.229, 0.224, 0.225]), que são amplamente adotados mesmo em imagens satelitais RGB por garantirem escala consistente nos valores de pixel.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. Explicação dos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Foram implementadas duas redes neurais convolucionais criadas completamente do zero, sem uso de pesos pré-treinados ou transfer learning.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.1 CNN1 — Baseline com BatchNorm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foi projetada como a arquitetura mais simples capaz de resolver o problema. Ela tem três blocos convolucionais, cada um composto por uma camada Conv2d sem bias, seguida de BatchNorm2d, ativação ReLU e MaxPool2d. Após os blocos, o classificador denso reduz as features para 256 dimensões com Dropout de 40% antes da camada de saída.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adição de BatchNorm em cada bloco foi uma decisão crítica: sem ela, o gradiente flutuava e o modelo convergia para apenas 74% de acurácia nas primeiras iterações. Com BatchNorm,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estabilizou o treino e estabeleceu uma linha de base de 92% de acurácia no teste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já acima da meta mínima de 88%.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todo,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possui aproximadamente 540 mil parâmetros </w:t>
      </w:r>
      <w:r w:rsidDel="00000000" w:rsidR="00000000" w:rsidRPr="00000000">
        <w:rPr>
          <w:rtl w:val="0"/>
        </w:rPr>
        <w:t xml:space="preserve">treináveis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Seu papel no projeto é intencional: ser rápida, estável e servir como piso de referência para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— Aprofundada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foi projetada para extrair features de maior complexidade, usando quatro blocos convolucionais duplos. Cada bloco contém duas camadas Conv2d consecutivas com BatchNorm e ReLU antes do MaxPool, o que permite aprender padrões mais abstratos sem aumentar o custo de memória proporcionalmente.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Três decisões arquiteturais distinguem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Dropout2d espacial entre os blocos: diferente do Dropout comum que descarta pixels isolados, o Dropout2d descarta mapas de features inteiros. Isso força o modelo a não depender de nenhuma característica específica, </w:t>
      </w:r>
      <w:r w:rsidDel="00000000" w:rsidR="00000000" w:rsidRPr="00000000">
        <w:rPr>
          <w:rtl w:val="0"/>
        </w:rPr>
        <w:t xml:space="preserve">reduzindo o overfitting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imagens com padrões espaciais repetitivos como as satelitais.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AdaptiveAvgPool2d(1,1) no final: em vez de um MaxPool fixo,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usa pooling adaptativo que comprime toda a informação espacial em um vetor de 256 dimensões, independentemente do tamanho de entrada. Isso também atua como regularizador adicional.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Blocos duplos: duas convoluções seguidas permitem extrair features de maior nível sem triplicar o número de parâmetros.</w:t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possui aproximadamente 1,2 milhão de parâmetros </w:t>
      </w:r>
      <w:r w:rsidDel="00000000" w:rsidR="00000000" w:rsidRPr="00000000">
        <w:rPr>
          <w:rtl w:val="0"/>
        </w:rPr>
        <w:t xml:space="preserve">treináveis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foi treinada por até 45 épocas com early stopping.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. Treinamento, Validação e Acompanhamento das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processo de treinamento foi estruturado para permitir observar a evolução dos modelos a cada época. A cada ciclo, calculamos acurácia e loss tanto no conjunto de treino quanto na validação, o que permite identificar problemas como overfitting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.1 Como o Treinamento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cada época, o modelo vê todas as 2.800 imagens de treino em batches de 64. Para cada batch, calcula as predições, mede o erro (loss), calcula o gradiente e atualiza os pesos. Ao final da época, avalia o modelo no conjunto de validação — que o modelo nunca viu durante o treino — para medir a capacidade de generalização.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OneCycleLR atualiza o learning rate a cada batch (não por época), o que garante uma trajetória suave de aprendizado. O melhor estado do modelo é salvo sempre que o F1-macro de validação melhora. Se 10 épocas seguidas não trazem melhora, o treino para automaticamente (early stopping).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.2 O que as Curvas mostram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curvas de acurácia e loss ao longo das épocas são a principal ferramenta de diagnóstico do treinamento. Três padrões são os mais importantes de identificar: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Overfitting: acurácia de treino sobe, mas a de validação estagna ou cai. Sinal de que o modelo memorizou o treino em vez de generalizar.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Underfitting: ambas as acurácias ficam baixas. O modelo não tem capacidade suficiente para aprender o padrão.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Convergência saudável: treino e validação sobem juntos e se estabilizam próximos, indicando boa generalização.</w:t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curvas geradas no notebook (seção 8) mostram o comportamento de cada modelo ao longo das épocas. Elas permitem visualizar exatamente quando o early stopping foi ativado e qual foi o melhor ponto de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.3 Métricas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Duas métricas principais foram monitoradas durante o treino e usadas na avaliação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Acurácia: percentual de classificações corretas. Fácil de interpretar, mas pode esconder problemas em datasets com classes mais fáceis.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F1-macro: média do F1-score por classe, calculada independentemente para cada uma das 4 categorias. É o critério principal de seleção do melhor modelo porque trata todas as classes com o mesmo peso, independentemente da dificuldade.</w:t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F1-macro é especialmente relevante para o EpiSat porque as quatro classes têm dificuldades heterogêneas: corpos_agua é visualmente distinta (tons de azul e reflexo), enquanto vegetacao_densa e area_agricola compartilham tons de verde e geram mais confusão. Um modelo que acerta apenas as classes fáceis teria acurácia alta mas F1-macro baixo — e seria ineficaz para o propósito epidemiológico.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. Comparação entre Modelos e Análise Técnica dos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o treinamento completo de ambas as arquiteturas, os modelos foram avaliados no conjunto de teste — 600 imagens, 150 por classe, nenhuma vista durante o treino. Os resultados confirmam que a meta mínima de 88% de acurácia foi superada por ambos.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.1 Resultados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2000"/>
        <w:gridCol w:w="2200"/>
        <w:tblGridChange w:id="0">
          <w:tblGrid>
            <w:gridCol w:w="2800"/>
            <w:gridCol w:w="2000"/>
            <w:gridCol w:w="2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Acurácia (teste)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F1-macro (teste)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CNN1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—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92,00%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91,94%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~540 mil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CNN2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— Aprofundada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95,83%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95,82%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~1,2 milhão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superou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em 3,83 pontos percentuais de acurácia e 3,88 pp de F1-macro. Ambos os modelos já estavam acima da meta mínima de 88%, mas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demonstrou melhor capacidade de generalização em todas as quatro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.2 Relatório por Classe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(95,83%)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700"/>
        <w:gridCol w:w="1700"/>
        <w:gridCol w:w="1700"/>
        <w:gridCol w:w="1700"/>
        <w:tblGridChange w:id="0">
          <w:tblGrid>
            <w:gridCol w:w="22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corpos_agua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vegetacao_densa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0.9463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0.9266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area_urbana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area_agricola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macro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0.9583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0.9582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area_urbana obteve recall perfeito (1.0000) — o modelo não perdeu nenhuma imagem de área urbana. Isso era esperado: malha urbana tem padrões visuais distintos (geometria, concreto, asfalto) que são facilmente identificáveis. A vegetacao_densa apresentou o menor F1 (0.9266), também esperado dado que compartilha tonalidades verdes com area_agricola.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.3 Relatório por Classe — CNN1 (92,00%)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700"/>
        <w:gridCol w:w="1700"/>
        <w:gridCol w:w="1700"/>
        <w:gridCol w:w="1700"/>
        <w:tblGridChange w:id="0">
          <w:tblGrid>
            <w:gridCol w:w="22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corpos_agua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vegetacao_densa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0.8733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0.8912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area_urbana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0.8982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area_agricola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0.8800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macro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0.9194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.4 Onde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Melhorou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ganho mais expressivo da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em relação à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foi na classe vegetacao_densa: o recall subiu de 0.8733 para 0.9463, um aumento de 7,3 pontos percentuais. Isso indica que os blocos convolucionais duplos da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capturam melhor as texturas sutis que distinguem vegetação densa de áreas agrícolas.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Essa melhoria tem impacto direto no EpiSat: a classe vegetacao_densa está associada a microambientes de umidade que favorecem vetores de doenças. Um modelo que erra vegetacao_densa e confunde com area_agricola subestima o risco epidemiológico de determinadas regiões.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.5 Comparação Arquitetural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3500"/>
        <w:tblGridChange w:id="0">
          <w:tblGrid>
            <w:gridCol w:w="3000"/>
            <w:gridCol w:w="2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CNN1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—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CNN2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— Aprofundada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Blocos convolucionais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blocos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blocos duplos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Convoluções por 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BatchNorm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 (1 por bloco)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 (2 por bloco)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Regularização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Dropout2d entre blocos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Dropout no classificador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Pooling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MaxPool2d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AdaptiveAvgPool2d(1,1)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Parâmetros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treináveis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~540 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~1,2 milhão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Épocas máximas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cumpre seu papel como linha de base: treina rápido, tem menor risco de overfitting e já supera a meta mínima.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justifica sua maior complexidade com resultados consistentemente melhores em todas as classes, especialmente nas mais difíceis. O modelo selecionado para a demo funcional e para integração ao EpiSat é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.6 Justificativa da Escolha do Melhor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critério de seleção foi o maior F1-macro no conjunto de teste — não a acurácia isolada. Essa escolha é justificada pelo contexto do problema: no EpiSat, errar a classificação de uma região com corpos d’água ou vegetação densa tem consequências reais — uma área de risco epidemiológico alto pode ser classificada erroneamente como área agrícola de baixo risco, atrasando intervenções preventivas.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venceu em todas as métricas relevantes e é o modelo </w:t>
      </w:r>
      <w:r w:rsidDel="00000000" w:rsidR="00000000" w:rsidRPr="00000000">
        <w:rPr>
          <w:rtl w:val="0"/>
        </w:rPr>
        <w:t xml:space="preserve">que foi feito deploy na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demo Gradio. Apesar de ter mais que o dobro de parâmetros da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CNN1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ambos os modelos rodam em tempo real no Google Colab, sem nenhuma limitação prática para a demonstração.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9. Conexão com ODS da ONU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500"/>
        <w:gridCol w:w="5200"/>
        <w:tblGridChange w:id="0">
          <w:tblGrid>
            <w:gridCol w:w="1300"/>
            <w:gridCol w:w="2500"/>
            <w:gridCol w:w="5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o EpiSat contribui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Saúde e bem-estar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Previsão de surtos com 2-4 semanas de antecedência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Inovação e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de infraestrutura satelital e IA para vigilância escalável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Redução das desigualdades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Cobertura preventiva para regiões remotas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Cidades sustentáveis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Monitoramento ambiental urbano para gestão de riscos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Ação climática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Correlação entre clima, condições ambientais e surtos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10. Limitações e Trabalhos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Limitações da versão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modelo opera apenas com bandas RGB. Bandas NIR e SWIR do Sentinel-2 aumentariam a precisão na distinção de tipos de vegetação e corpos d’água.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classe corpos_agua não diferencia água corrente de água estagnada — distinção crítica para criadouros do Aedes aegypti.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EuroSAT é majoritariamente europeu; um dataset com imagens tropicais brasileiras aumentaria a representatividade.</w:t>
      </w:r>
    </w:p>
    <w:p w:rsidR="00000000" w:rsidDel="00000000" w:rsidP="00000000" w:rsidRDefault="00000000" w:rsidRPr="00000000" w14:paraId="0000011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Evoluções planejadas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de bandas multiespectrais para classificação mais precisa.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Segmentação semântica (U-Net) no lugar de classificação por patch.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de inferência automática sobre novas imagens Sentinel-2 via API Copernicus.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