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204BA" w14:textId="5B4C4CF4" w:rsidR="00EC54F7" w:rsidRDefault="008E7611" w:rsidP="00EC54F7">
      <w:r>
        <w:t>Tp: Respuestas</w:t>
      </w:r>
    </w:p>
    <w:p w14:paraId="3D51C9BB" w14:textId="36A5C4D5" w:rsidR="00EC54F7" w:rsidRDefault="00EC54F7" w:rsidP="00EC54F7">
      <w:pPr>
        <w:rPr>
          <w:b/>
          <w:bCs/>
        </w:rPr>
      </w:pPr>
      <w:r w:rsidRPr="003B3DA8">
        <w:rPr>
          <w:b/>
          <w:bCs/>
        </w:rPr>
        <w:t>Ejercicio 1:</w:t>
      </w:r>
    </w:p>
    <w:p w14:paraId="4819600D" w14:textId="25892FCD" w:rsidR="00914AE2" w:rsidRDefault="00914AE2" w:rsidP="00EC54F7">
      <w:r>
        <w:rPr>
          <w:b/>
          <w:bCs/>
        </w:rPr>
        <w:t xml:space="preserve">6) </w:t>
      </w:r>
      <w:r>
        <w:t xml:space="preserve">Si, se puede observar que la especie </w:t>
      </w:r>
      <w:r w:rsidRPr="00914AE2">
        <w:t>Gilia sp y Ranunculaceae sp</w:t>
      </w:r>
      <w:r>
        <w:t xml:space="preserve"> presentan mayor </w:t>
      </w:r>
      <w:r w:rsidR="00837E2F">
        <w:t xml:space="preserve">emergencia en lugares de pastoreo, mientras que </w:t>
      </w:r>
      <w:r w:rsidR="00837E2F" w:rsidRPr="00837E2F">
        <w:t>Pappostipa sp</w:t>
      </w:r>
      <w:r w:rsidR="00837E2F">
        <w:t xml:space="preserve"> y Plantago patagónica emergen más en lugares sin pastoreo.</w:t>
      </w:r>
    </w:p>
    <w:p w14:paraId="3FBD455E" w14:textId="107C1AF9" w:rsidR="00837E2F" w:rsidRPr="00837E2F" w:rsidRDefault="00837E2F" w:rsidP="00EC54F7">
      <w:r w:rsidRPr="00837E2F">
        <w:rPr>
          <w:b/>
          <w:bCs/>
        </w:rPr>
        <w:t>8)</w:t>
      </w:r>
      <w:r>
        <w:rPr>
          <w:b/>
          <w:bCs/>
        </w:rPr>
        <w:t xml:space="preserve"> </w:t>
      </w:r>
      <w:r>
        <w:t>Según el gráfico realizado se observa que c</w:t>
      </w:r>
      <w:r w:rsidRPr="00837E2F">
        <w:t>oncuerda</w:t>
      </w:r>
      <w:r>
        <w:t xml:space="preserve"> </w:t>
      </w:r>
      <w:r w:rsidRPr="00837E2F">
        <w:t>el</w:t>
      </w:r>
      <w:r>
        <w:t xml:space="preserve"> </w:t>
      </w:r>
      <w:r w:rsidRPr="00837E2F">
        <w:t>patr</w:t>
      </w:r>
      <w:r>
        <w:t>ó</w:t>
      </w:r>
      <w:r w:rsidRPr="00837E2F">
        <w:t>n observado con la descripci</w:t>
      </w:r>
      <w:r>
        <w:t>ó</w:t>
      </w:r>
      <w:r w:rsidRPr="00837E2F">
        <w:t>n te</w:t>
      </w:r>
      <w:r>
        <w:t>ó</w:t>
      </w:r>
      <w:r w:rsidRPr="00837E2F">
        <w:t>rica</w:t>
      </w:r>
      <w:r>
        <w:t xml:space="preserve"> del ejercicio.</w:t>
      </w:r>
    </w:p>
    <w:p w14:paraId="17876447" w14:textId="298E68EB" w:rsidR="00EC54F7" w:rsidRDefault="00EC54F7" w:rsidP="00EC54F7"/>
    <w:p w14:paraId="77139C08" w14:textId="7ABE8EAE" w:rsidR="00EC54F7" w:rsidRPr="003B3DA8" w:rsidRDefault="00EC54F7" w:rsidP="00EC54F7">
      <w:pPr>
        <w:rPr>
          <w:b/>
          <w:bCs/>
        </w:rPr>
      </w:pPr>
      <w:r w:rsidRPr="003B3DA8">
        <w:rPr>
          <w:b/>
          <w:bCs/>
        </w:rPr>
        <w:t>Ejercicio 4:</w:t>
      </w:r>
    </w:p>
    <w:p w14:paraId="474EC557" w14:textId="40B726CB" w:rsidR="00EC54F7" w:rsidRDefault="00EC54F7" w:rsidP="00EC54F7">
      <w:r w:rsidRPr="003B3DA8">
        <w:rPr>
          <w:b/>
          <w:bCs/>
        </w:rPr>
        <w:t>1)</w:t>
      </w:r>
      <w:r>
        <w:t xml:space="preserve"> No se responde</w:t>
      </w:r>
    </w:p>
    <w:p w14:paraId="7C440B4C" w14:textId="78D580F7" w:rsidR="00EC54F7" w:rsidRDefault="00EC54F7" w:rsidP="00EC54F7">
      <w:r w:rsidRPr="003B3DA8">
        <w:rPr>
          <w:b/>
          <w:bCs/>
        </w:rPr>
        <w:t>2)</w:t>
      </w:r>
      <w:r>
        <w:t xml:space="preserve"> Del año 2014 a 2017 el promedio crece de 9</w:t>
      </w:r>
      <w:r w:rsidR="003B3DA8">
        <w:t>.</w:t>
      </w:r>
      <w:r>
        <w:t>6 a 10</w:t>
      </w:r>
      <w:r w:rsidR="003B3DA8">
        <w:t>.</w:t>
      </w:r>
      <w:r>
        <w:t>25 aproximadamente.</w:t>
      </w:r>
    </w:p>
    <w:p w14:paraId="069DCAD8" w14:textId="68FB2CC5" w:rsidR="003B3DA8" w:rsidRDefault="003B3DA8" w:rsidP="00EC54F7">
      <w:r>
        <w:t xml:space="preserve">     Del año 2018 en adelante se observa un decaimiento en el promedio hasta el año 2025.</w:t>
      </w:r>
    </w:p>
    <w:p w14:paraId="79F53545" w14:textId="7965A2B1" w:rsidR="003B3DA8" w:rsidRDefault="003B3DA8" w:rsidP="00EC54F7">
      <w:r>
        <w:t xml:space="preserve">      En 2026 hay un leve crecimiento (6.58 millones) pero no es fuertemente considerable ya que tenemos un solo trimestre en ese año.</w:t>
      </w:r>
    </w:p>
    <w:p w14:paraId="0FA5FB43" w14:textId="59376788" w:rsidR="00EC54F7" w:rsidRDefault="00EC54F7" w:rsidP="00EC54F7">
      <w:r w:rsidRPr="003B3DA8">
        <w:rPr>
          <w:b/>
          <w:bCs/>
        </w:rPr>
        <w:t>3)</w:t>
      </w:r>
      <w:r>
        <w:t xml:space="preserve"> </w:t>
      </w:r>
      <w:r w:rsidRPr="00EC54F7">
        <w:t xml:space="preserve">Los accesos a telefonía fija crecieron entre 2014 y 2017, llegando a su valor más alto (10.379.749 accesos) en el segundo trimestre de 2016 (valor que se repite en el segundo trimestre de 2017, según los datos de ENACOM). A partir de ahí, los accesos empezaron a bajar de forma constante. La caída más grande de todo el período fue entre el último trimestre de 2018 y el primero de 2019, cuando los accesos bajaron un 15,1% (1.478.517 líneas menos) de un trimestre a otro. Después de ese momento, la baja </w:t>
      </w:r>
      <w:r w:rsidR="003A0C90" w:rsidRPr="00EC54F7">
        <w:t>continuó,</w:t>
      </w:r>
      <w:r w:rsidRPr="00EC54F7">
        <w:t xml:space="preserve"> pero de forma más lenta, hasta 2025, con una leve suba en el dato más reciente (primer trimestre de 2026)</w:t>
      </w:r>
    </w:p>
    <w:p w14:paraId="0E1F22AE" w14:textId="77777777" w:rsidR="003B3DA8" w:rsidRDefault="003B3DA8" w:rsidP="00EC54F7"/>
    <w:p w14:paraId="2A4C7030" w14:textId="01DA9B2E" w:rsidR="003B3DA8" w:rsidRDefault="003B3DA8" w:rsidP="00EC54F7">
      <w:pPr>
        <w:rPr>
          <w:b/>
          <w:bCs/>
        </w:rPr>
      </w:pPr>
      <w:r w:rsidRPr="003B3DA8">
        <w:rPr>
          <w:b/>
          <w:bCs/>
        </w:rPr>
        <w:t>4)</w:t>
      </w:r>
      <w:r w:rsidR="003A0C90">
        <w:rPr>
          <w:b/>
          <w:bCs/>
        </w:rPr>
        <w:t xml:space="preserve"> </w:t>
      </w:r>
      <w:r w:rsidR="006105CB" w:rsidRPr="006105CB">
        <w:t>El tipo de cliente que conserva la mayor proporción de líneas fijas es Hogares, con un 88% del total de accesos en promedio durante el período 2014-2026. Le sigue Comercial con un 8,55%, mientras que Otros (3,04%) y especialmente Gobierno (0,40%) representan una fracción marginal del total</w:t>
      </w:r>
      <w:r w:rsidR="006105CB" w:rsidRPr="006105CB">
        <w:rPr>
          <w:b/>
          <w:bCs/>
        </w:rPr>
        <w:t>.</w:t>
      </w:r>
    </w:p>
    <w:p w14:paraId="3AFFA84A" w14:textId="37E161F4" w:rsidR="00142310" w:rsidRDefault="00142310" w:rsidP="00EC54F7">
      <w:pPr>
        <w:rPr>
          <w:b/>
          <w:bCs/>
        </w:rPr>
      </w:pPr>
      <w:r>
        <w:rPr>
          <w:b/>
          <w:bCs/>
        </w:rPr>
        <w:t>Ejercicio 5:</w:t>
      </w:r>
    </w:p>
    <w:p w14:paraId="75E80546" w14:textId="2B5E7AB0" w:rsidR="00142310" w:rsidRDefault="00142310" w:rsidP="00EC54F7">
      <w:r>
        <w:rPr>
          <w:b/>
          <w:bCs/>
        </w:rPr>
        <w:t>4</w:t>
      </w:r>
      <w:r w:rsidRPr="00142310">
        <w:t xml:space="preserve">) </w:t>
      </w:r>
      <w:r w:rsidRPr="00142310">
        <w:t xml:space="preserve">El ARPU en dólares se mantuvo cerca del promedio regional (USD 6,5) entre 2020 y 2023, con algunas subas y bajas. A fines de 2023, con la fuerte devaluación del peso, el ARPU cayó bruscamente a unos USD 4,8 </w:t>
      </w:r>
      <w:r>
        <w:t>(</w:t>
      </w:r>
      <w:r w:rsidRPr="00142310">
        <w:t>el valor más bajo de todo el período</w:t>
      </w:r>
      <w:r>
        <w:t>)</w:t>
      </w:r>
      <w:r w:rsidRPr="00142310">
        <w:t xml:space="preserve">. Esto pasó porque, aunque las empresas seguían cobrando en pesos, esos pesos valían menos en dólares después de la devaluación. Esta caída es </w:t>
      </w:r>
      <w:r w:rsidRPr="00142310">
        <w:lastRenderedPageBreak/>
        <w:t>importante porque muchas de las cosas que necesita una empresa de telefonía para mejorar su red (antenas, cables, equipos) se compran en dólares. Entonces, si el ingreso en dólares baja, a la empresa le queda menos margen para invertir en mejorar la infraestructura en ese momento. A partir de 2024 el ARPU se recuperó y llegó a superar los USD 7,5, por encima del promedio regional, lo que indicaría una mejor capacidad de inversión en esa etapa.</w:t>
      </w:r>
    </w:p>
    <w:p w14:paraId="7F0C6734" w14:textId="2EE5BDEB" w:rsidR="00660D18" w:rsidRPr="00660D18" w:rsidRDefault="00E57E3C" w:rsidP="00660D18">
      <w:r w:rsidRPr="00E57E3C">
        <w:rPr>
          <w:b/>
          <w:bCs/>
        </w:rPr>
        <w:t>5)</w:t>
      </w:r>
      <w:r>
        <w:t xml:space="preserve"> </w:t>
      </w:r>
      <w:r w:rsidR="00660D18" w:rsidRPr="00660D18">
        <w:t>El ARPU en dólares es la métrica más adecuada para este análisis, porque evita el efecto de la inflación</w:t>
      </w:r>
      <w:r w:rsidR="00660D18">
        <w:t>. Además,</w:t>
      </w:r>
      <w:r w:rsidR="00660D18" w:rsidRPr="00660D18">
        <w:t xml:space="preserve"> permite comparar con otros países y se relaciona más directamente con la inversión en infraestructura, ya que buena parte de esas inversiones se pagan en dólares.</w:t>
      </w:r>
    </w:p>
    <w:p w14:paraId="19E025C3" w14:textId="3EB3BD22" w:rsidR="00660D18" w:rsidRPr="00660D18" w:rsidRDefault="00660D18" w:rsidP="00660D18">
      <w:r w:rsidRPr="00660D18">
        <w:t>El ARPU nominal, en cambio, no es tan útil para este objetivo. Aunque muestra los ingresos reales que maneja la empresa día a día en pesos, no permite ver con claridad si el negocio mejoró o empeoró, porque los precios en pesos suben constantemente por la inflación, independientemente de cómo le vaya realmente a la empresa</w:t>
      </w:r>
      <w:r>
        <w:t>.</w:t>
      </w:r>
    </w:p>
    <w:p w14:paraId="09F28139" w14:textId="471564A9" w:rsidR="00E57E3C" w:rsidRPr="003A0C90" w:rsidRDefault="00E57E3C" w:rsidP="00EC54F7"/>
    <w:sectPr w:rsidR="00E57E3C" w:rsidRPr="003A0C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627F3"/>
    <w:multiLevelType w:val="hybridMultilevel"/>
    <w:tmpl w:val="8D206DAA"/>
    <w:lvl w:ilvl="0" w:tplc="2C0A0011">
      <w:start w:val="1"/>
      <w:numFmt w:val="decimal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D2642D8"/>
    <w:multiLevelType w:val="hybridMultilevel"/>
    <w:tmpl w:val="29A2756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20EFB"/>
    <w:multiLevelType w:val="hybridMultilevel"/>
    <w:tmpl w:val="9AA6785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324B2"/>
    <w:multiLevelType w:val="hybridMultilevel"/>
    <w:tmpl w:val="0CDCBFC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D40528"/>
    <w:multiLevelType w:val="hybridMultilevel"/>
    <w:tmpl w:val="E41CB3A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748202">
    <w:abstractNumId w:val="2"/>
  </w:num>
  <w:num w:numId="2" w16cid:durableId="420370912">
    <w:abstractNumId w:val="1"/>
  </w:num>
  <w:num w:numId="3" w16cid:durableId="1333534419">
    <w:abstractNumId w:val="3"/>
  </w:num>
  <w:num w:numId="4" w16cid:durableId="31227399">
    <w:abstractNumId w:val="0"/>
  </w:num>
  <w:num w:numId="5" w16cid:durableId="91973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11"/>
    <w:rsid w:val="00142310"/>
    <w:rsid w:val="003542F6"/>
    <w:rsid w:val="003A0C90"/>
    <w:rsid w:val="003B3DA8"/>
    <w:rsid w:val="006105CB"/>
    <w:rsid w:val="00660D18"/>
    <w:rsid w:val="00837E2F"/>
    <w:rsid w:val="008E7611"/>
    <w:rsid w:val="00914AE2"/>
    <w:rsid w:val="00C64947"/>
    <w:rsid w:val="00C85AEE"/>
    <w:rsid w:val="00CB3586"/>
    <w:rsid w:val="00E57E3C"/>
    <w:rsid w:val="00EC54F7"/>
    <w:rsid w:val="00ED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5E951"/>
  <w15:chartTrackingRefBased/>
  <w15:docId w15:val="{B30FCE4C-F38A-4500-8223-7AF0B515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6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6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6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6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6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6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6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6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6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6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6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0D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470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Fuentealba</dc:creator>
  <cp:keywords/>
  <dc:description/>
  <cp:lastModifiedBy>Leonardo Fuentealba</cp:lastModifiedBy>
  <cp:revision>7</cp:revision>
  <dcterms:created xsi:type="dcterms:W3CDTF">2026-09-01T18:20:00Z</dcterms:created>
  <dcterms:modified xsi:type="dcterms:W3CDTF">2026-09-11T00:04:00Z</dcterms:modified>
</cp:coreProperties>
</file>