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tbl>
      <w:tblPr>
        <w:jc w:val="center"/>
        <w:tblLook w:firstColumn="1" w:firstRow="1" w:lastColumn="0" w:lastRow="0" w:noHBand="0" w:noVBand="1" w:val="04A0"/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21374D"/>
          </w:tcPr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52"/>
              </w:rPr>
              <w:t>ESPECIFICACIONES GRÁFICAS</w:t>
            </w:r>
          </w:p>
          <w:p>
            <w:pPr>
              <w:spacing w:after="60"/>
              <w:jc w:val="center"/>
            </w:pPr>
            <w:r>
              <w:rPr>
                <w:b w:val="0"/>
                <w:color w:val="FFFFFF"/>
                <w:sz w:val="32"/>
              </w:rPr>
              <w:t>1.er curso</w:t>
            </w:r>
          </w:p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</w:tc>
      </w:tr>
    </w:tbl>
    <w:p>
      <w:pPr>
        <w:spacing w:before="0" w:after="80"/>
        <w:jc w:val="both"/>
      </w:pPr>
      <w:r>
        <w:rPr>
          <w:b w:val="0"/>
          <w:i w:val="0"/>
          <w:sz w:val="16"/>
        </w:rPr>
      </w:r>
    </w:p>
    <w:tbl>
      <w:tblPr>
        <w:jc w:val="center"/>
        <w:tblLook w:firstColumn="1" w:firstRow="1" w:lastColumn="0" w:lastRow="0" w:noHBand="0" w:noVBand="1" w:val="04A0"/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21374D"/>
                <w:sz w:val="24"/>
              </w:rPr>
              <w:t>Historia y Geografía · Educación Media, Plan Común</w:t>
            </w:r>
          </w:p>
          <w:p>
            <w:r>
              <w:rPr>
                <w:sz w:val="12"/>
              </w:rPr>
            </w:r>
          </w:p>
        </w:tc>
      </w:tr>
    </w:tbl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Programa de Estudio del Ministerio de Educación y Ciencias</w:t>
      </w:r>
    </w:p>
    <w:p>
      <w:pPr>
        <w:spacing w:before="0" w:after="80"/>
        <w:jc w:val="center"/>
      </w:pPr>
      <w:r>
        <w:rPr>
          <w:b w:val="0"/>
          <w:i w:val="0"/>
          <w:sz w:val="23"/>
        </w:rPr>
        <w:t>Documento técnico para el diseñador</w:t>
      </w:r>
    </w:p>
    <w:p>
      <w:pPr>
        <w:spacing w:before="0" w:after="80"/>
        <w:jc w:val="center"/>
      </w:pPr>
      <w:r>
        <w:rPr>
          <w:b w:val="0"/>
          <w:i/>
          <w:sz w:val="21"/>
        </w:rPr>
        <w:t>Enfoque constructivista «Aprender Haciendo»</w:t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center"/>
      </w:pPr>
      <w:r>
        <w:rPr>
          <w:b/>
          <w:i w:val="0"/>
          <w:color w:val="3D5A80"/>
          <w:sz w:val="26"/>
        </w:rPr>
        <w:t>Siete figuras para ejecución de diseño</w:t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p>
      <w:pPr>
        <w:spacing w:before="0" w:after="80"/>
        <w:jc w:val="both"/>
      </w:pPr>
      <w:r>
        <w:rPr>
          <w:b w:val="0"/>
          <w:i w:val="0"/>
          <w:sz w:val="22"/>
        </w:rPr>
      </w:r>
    </w:p>
    <w:tbl>
      <w:tblPr>
        <w:jc w:val="center"/>
        <w:tblLook w:firstColumn="1" w:firstRow="1" w:lastColumn="0" w:lastRow="0" w:noHBand="0" w:noVBand="1" w:val="04A0"/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3D5A80"/>
          </w:tcPr>
          <w:p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24"/>
              </w:rPr>
              <w:t>República del Paraguay · 2026</w:t>
            </w:r>
          </w:p>
          <w:p>
            <w:r>
              <w:rPr>
                <w:sz w:val="1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Alcance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El tomo de 1.er curso lleva veintisiete figuras numeradas por clase. Veinte están generadas y montadas en identidad PIZARRA. Las siete restantes —seis mapas históricos o geográficos y un dibujo de órdenes arquitectónicos— requieren ejecución de diseño y se especifican acá.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Cada archivo se entrega como fig_U_N.png (por ejemplo, fig_4_1.png) y se coloca en la carpeta fig/ del proyecto: el generador del tomo lo inserta solo, con su lead-in y su epígrafe.</w:t>
      </w:r>
    </w:p>
    <w:p>
      <w:pPr>
        <w:pStyle w:val="Heading1"/>
      </w:pPr>
      <w:r>
        <w:t>Paleta e identidad</w:t>
      </w:r>
    </w:p>
    <w:p>
      <w:pPr>
        <w:keepNext/>
        <w:spacing w:before="0" w:after="80"/>
        <w:jc w:val="both"/>
      </w:pPr>
      <w:r>
        <w:rPr>
          <w:b/>
          <w:i w:val="0"/>
          <w:color w:val="21374D"/>
          <w:sz w:val="20"/>
        </w:rPr>
        <w:t>Cuadro 1. Identidad PIZARRA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1486"/>
        <w:gridCol w:w="1621"/>
        <w:gridCol w:w="7700"/>
      </w:tblGrid>
      <w:tr>
        <w:trPr>
          <w:cantSplit/>
        </w:trPr>
        <w:tc>
          <w:tcPr>
            <w:tcW w:w="1486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Tinta</w:t>
            </w:r>
          </w:p>
        </w:tc>
        <w:tc>
          <w:tcPr>
            <w:tcW w:w="1621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7700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w="1486" w:type="dxa"/>
          </w:tcPr>
          <w:p>
            <w:r>
              <w:rPr>
                <w:sz w:val="19"/>
              </w:rPr>
              <w:t>DARK</w:t>
            </w:r>
          </w:p>
        </w:tc>
        <w:tc>
          <w:tcPr>
            <w:tcW w:w="1621" w:type="dxa"/>
          </w:tcPr>
          <w:p>
            <w:r>
              <w:rPr>
                <w:sz w:val="19"/>
              </w:rPr>
              <w:t>#21374D</w:t>
            </w:r>
          </w:p>
        </w:tc>
        <w:tc>
          <w:tcPr>
            <w:tcW w:w="7700" w:type="dxa"/>
          </w:tcPr>
          <w:p>
            <w:r>
              <w:rPr>
                <w:sz w:val="19"/>
              </w:rPr>
              <w:t>Trazos principales, títulos, masas de mayor jerarquía.</w:t>
            </w:r>
          </w:p>
        </w:tc>
      </w:tr>
      <w:tr>
        <w:trPr>
          <w:cantSplit/>
        </w:trPr>
        <w:tc>
          <w:tcPr>
            <w:tcW w:w="1486" w:type="dxa"/>
            <w:shd w:val="clear" w:color="auto" w:fill="F5F5F5"/>
          </w:tcPr>
          <w:p>
            <w:r>
              <w:rPr>
                <w:sz w:val="19"/>
              </w:rPr>
              <w:t>MED</w:t>
            </w:r>
          </w:p>
        </w:tc>
        <w:tc>
          <w:tcPr>
            <w:tcW w:w="1621" w:type="dxa"/>
            <w:shd w:val="clear" w:color="auto" w:fill="F5F5F5"/>
          </w:tcPr>
          <w:p>
            <w:r>
              <w:rPr>
                <w:sz w:val="19"/>
              </w:rPr>
              <w:t>#3D5A80</w:t>
            </w:r>
          </w:p>
        </w:tc>
        <w:tc>
          <w:tcPr>
            <w:tcW w:w="7700" w:type="dxa"/>
            <w:shd w:val="clear" w:color="auto" w:fill="F5F5F5"/>
          </w:tcPr>
          <w:p>
            <w:r>
              <w:rPr>
                <w:sz w:val="19"/>
              </w:rPr>
              <w:t>Segunda categoría, zonas destacadas, flechas y rutas.</w:t>
            </w:r>
          </w:p>
        </w:tc>
      </w:tr>
      <w:tr>
        <w:trPr>
          <w:cantSplit/>
        </w:trPr>
        <w:tc>
          <w:tcPr>
            <w:tcW w:w="1486" w:type="dxa"/>
          </w:tcPr>
          <w:p>
            <w:r>
              <w:rPr>
                <w:sz w:val="19"/>
              </w:rPr>
              <w:t>SOFT</w:t>
            </w:r>
          </w:p>
        </w:tc>
        <w:tc>
          <w:tcPr>
            <w:tcW w:w="1621" w:type="dxa"/>
          </w:tcPr>
          <w:p>
            <w:r>
              <w:rPr>
                <w:sz w:val="19"/>
              </w:rPr>
              <w:t>#6B8CAE</w:t>
            </w:r>
          </w:p>
        </w:tc>
        <w:tc>
          <w:tcPr>
            <w:tcW w:w="7700" w:type="dxa"/>
          </w:tcPr>
          <w:p>
            <w:r>
              <w:rPr>
                <w:sz w:val="19"/>
              </w:rPr>
              <w:t>Tercera categoría, cuerpos de agua, líneas auxiliares.</w:t>
            </w:r>
          </w:p>
        </w:tc>
      </w:tr>
      <w:tr>
        <w:trPr>
          <w:cantSplit/>
        </w:trPr>
        <w:tc>
          <w:tcPr>
            <w:tcW w:w="1486" w:type="dxa"/>
            <w:shd w:val="clear" w:color="auto" w:fill="F5F5F5"/>
          </w:tcPr>
          <w:p>
            <w:r>
              <w:rPr>
                <w:sz w:val="19"/>
              </w:rPr>
              <w:t>LIGHT</w:t>
            </w:r>
          </w:p>
        </w:tc>
        <w:tc>
          <w:tcPr>
            <w:tcW w:w="1621" w:type="dxa"/>
            <w:shd w:val="clear" w:color="auto" w:fill="F5F5F5"/>
          </w:tcPr>
          <w:p>
            <w:r>
              <w:rPr>
                <w:sz w:val="19"/>
              </w:rPr>
              <w:t>#E6EBF1</w:t>
            </w:r>
          </w:p>
        </w:tc>
        <w:tc>
          <w:tcPr>
            <w:tcW w:w="7700" w:type="dxa"/>
            <w:shd w:val="clear" w:color="auto" w:fill="F5F5F5"/>
          </w:tcPr>
          <w:p>
            <w:r>
              <w:rPr>
                <w:sz w:val="19"/>
              </w:rPr>
              <w:t>Fondos y áreas neutras.</w:t>
            </w:r>
          </w:p>
        </w:tc>
      </w:tr>
    </w:tbl>
    <w:p>
      <w:pPr>
        <w:pStyle w:val="Heading1"/>
      </w:pPr>
      <w:r>
        <w:t>Reglas comunes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Entrega en PNG a 300 ppp y vectorial editable (SVG o AI). Ancho útil en el tomo: 16,5 cm (papel oficio, márgenes de 1,27 cm).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Tipografía de palo seco (Calibri o equivalente); cuerpo mínimo 7,5 pt al tamaño impreso.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Paleta cerrada: las cuatro tintas PIZARRA, blanco y gris #595959 para notas.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El arte no repite el epígrafe: el tomo lo coloca debajo de la imagen.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Toda figura con datos lleva una línea de fuente dentro del arte.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Topónimos en castellano; para la Antigüedad, nombres de la época con el actual entre paréntesis cuando ayude a ubicar.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•  Nada decorativo: cada color o trama se explica en la referencia de la figura.</w:t>
      </w:r>
    </w:p>
    <w:p>
      <w:r>
        <w:br w:type="page"/>
      </w:r>
    </w:p>
    <w:p>
      <w:pPr>
        <w:pStyle w:val="Heading1"/>
      </w:pPr>
      <w:r>
        <w:t>Figura 4.1 — El mundo griego: polis y colonias en el Mediterráneo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4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Mapa histórico regional.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fig_4_1.png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Península griega, islas del Egeo y costas del Mediterráneo y del mar Negro.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Atenas y Esparta destacadas con símbolo y rótulo propios.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Colonias griegas principales marcadas con puntos, sin saturar.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Mares rotulados: Egeo, Jónico, Mediterráneo, Negro.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ubicar Atenas y Esparta y contar colonias fuera de la península.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dibujar fronteras actuales: la figura muestra el siglo V a. C.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5.1 — Los tres órdenes de la arquitectura griega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5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Dibujo técnico comparativo de tres columnas.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fig_5_1.png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Tres columnas lado a lado, a la misma altura: dórica, jónica y corintia.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Capitel, fuste y base rotulados en las tres.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Detalle ampliado de cada capitel: liso, con volutas y con hojas de acanto.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actividad pide reconocer los órdenes y buscarlos en edificios de la ciudad.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usar fotografías de edificios con derechos de autor; dibujo esquemático propio.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6.1 — El Imperio romano en su máxima extensión (siglo II)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6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Mapa histórico continental.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fig_6_1.png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Extensión del Imperio hacia el año 117 rodeando el Mediterráneo.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Roma y Constantinopla señaladas; principales calzadas en línea fina.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Tres continentes rotulados: Europa, África y Asia.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identificar los tres continentes y explicar por qué el Mediterráneo quedó en el centro.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mezclar la división posterior en Occidente y Oriente sin aclararlo.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9.1 — Europa dividida por la religión hacia 1600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9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Mapa temático continental.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fig_9_1.png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Regiones luteranas, calvinistas, anglicanas y católicas con tramas distintas dentro de la paleta.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Wittenberg, Ginebra, Roma y Trento señaladas.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Referencia con las cuatro confesiones.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actividad relaciona la división religiosa con el norte y el sur de Europa.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incluir las fronteras estatales actuales como base principal.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19.1 — La gobernación antes y después de la división de 1617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19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Dos mapas comparados con igual escala.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fig_19_1.png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Izquierda: la gobernación del Río de la Plata y del Paraguay antes de 1617.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Derecha: Gobernación del Paraguay (Guairá) y Gobernación del Río de la Plata.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Asunción y Buenos Aires señaladas; Río de la Plata y océano Atlántico rotulados.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verificar si la gobernación del Paraguay conservó acceso directo al océano: debe resolverse a simple vista.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dibujar los límites actuales del Paraguay como si fueran los de 1617; los límites coloniales eran imprecisos y deben marcarse aproximados.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21.1 — El Chaco Boreal: pretensiones y límite de 1938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21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Mapa regional de disputa territorial.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fig_21_1.png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Ríos Paraguay y Pilcomayo trazados y rotulados.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Pretensiones de cada país en tramas diferenciadas.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Límite fijado en 1938 en línea gruesa.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Boquerón señalado.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actividad pide comparar las pretensiones con el límite de 1938.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Ningún elemento triunfalista ni símbolos militares: la figura se usa en un enfoque de memoria y paz.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Figura 23.1 — Las salidas del Paraguay al mar: hidrovía y Corredor Bioceánico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10807" w:type="dxa"/>
        <w:tblLayout w:type="fixed"/>
      </w:tblPr>
      <w:tblGrid>
        <w:gridCol w:w="2702"/>
        <w:gridCol w:w="8105"/>
      </w:tblGrid>
      <w:tr>
        <w:trPr>
          <w:cantSplit/>
        </w:trPr>
        <w:tc>
          <w:tcPr>
            <w:tcW w:w="2702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8105" w:type="dxa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Ubicación en el tomo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Clase 23</w:t>
            </w:r>
          </w:p>
        </w:tc>
      </w:tr>
      <w:tr>
        <w:trPr>
          <w:cantSplit/>
        </w:trPr>
        <w:tc>
          <w:tcPr>
            <w:tcW w:w="2702" w:type="dxa"/>
            <w:shd w:val="clear" w:color="auto" w:fill="F5F5F5"/>
          </w:tcPr>
          <w:p>
            <w:r>
              <w:rPr>
                <w:sz w:val="19"/>
              </w:rPr>
              <w:t>Tipo</w:t>
            </w:r>
          </w:p>
        </w:tc>
        <w:tc>
          <w:tcPr>
            <w:tcW w:w="8105" w:type="dxa"/>
            <w:shd w:val="clear" w:color="auto" w:fill="F5F5F5"/>
          </w:tcPr>
          <w:p>
            <w:r>
              <w:rPr>
                <w:sz w:val="19"/>
              </w:rPr>
              <w:t>Mapa sudamericano de rutas.</w:t>
            </w:r>
          </w:p>
        </w:tc>
      </w:tr>
      <w:tr>
        <w:trPr>
          <w:cantSplit/>
        </w:trPr>
        <w:tc>
          <w:tcPr>
            <w:tcW w:w="2702" w:type="dxa"/>
          </w:tcPr>
          <w:p>
            <w:r>
              <w:rPr>
                <w:sz w:val="19"/>
              </w:rPr>
              <w:t>Archivo</w:t>
            </w:r>
          </w:p>
        </w:tc>
        <w:tc>
          <w:tcPr>
            <w:tcW w:w="8105" w:type="dxa"/>
          </w:tcPr>
          <w:p>
            <w:r>
              <w:rPr>
                <w:sz w:val="19"/>
              </w:rPr>
              <w:t>fig_23_1.png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</w:pPr>
            <w:r>
              <w:rPr>
                <w:b/>
                <w:color w:val="3D5A80"/>
                <w:sz w:val="22"/>
              </w:rPr>
              <w:t>Qué debe mostrar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Hidrovía Paraguay-Paraná hasta el Río de la Plata, con su trazado real.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Corredor Bioceánico desde puertos del Brasil, por el Chaco y el norte argentino, hasta Chile.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keepNext/>
              <w:jc w:val="both"/>
            </w:pPr>
            <w:r>
              <w:rPr>
                <w:sz w:val="20"/>
              </w:rPr>
              <w:t>Puente Carmelo Peralta - Porto Murtinho señalado.</w:t>
            </w:r>
          </w:p>
        </w:tc>
      </w:tr>
      <w:tr>
        <w:trPr>
          <w:cantSplit/>
        </w:trPr>
        <w:tc>
          <w:tcPr>
            <w:tcW w:w="10807" w:type="dxa"/>
            <w:shd w:val="clear" w:color="auto" w:fill="E6EBF1"/>
          </w:tcPr>
          <w:p>
            <w:pPr>
              <w:jc w:val="both"/>
            </w:pPr>
            <w:r>
              <w:rPr>
                <w:sz w:val="20"/>
              </w:rPr>
              <w:t>Países atravesados rotulados.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Ejemplo — Para qué se usa en clase</w:t>
            </w:r>
          </w:p>
          <w:p>
            <w:pPr>
              <w:jc w:val="both"/>
            </w:pPr>
            <w:r>
              <w:rPr>
                <w:sz w:val="20"/>
              </w:rPr>
              <w:t>La consigna pide contar por cuántos países pasa cada ruta.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3D5A80"/>
          <w:left w:val="single" w:sz="6" w:space="0" w:color="3D5A80"/>
          <w:bottom w:val="single" w:sz="6" w:space="0" w:color="3D5A80"/>
          <w:right w:val="single" w:sz="6" w:space="0" w:color="3D5A80"/>
          <w:insideH w:val="none"/>
          <w:insideV w:val="none"/>
        </w:tblBorders>
        <w:tblW w:w="10807" w:type="dxa"/>
        <w:tblLayout w:type="fixed"/>
      </w:tblPr>
      <w:tblGrid>
        <w:gridCol w:w="10807"/>
      </w:tblGrid>
      <w:tr>
        <w:trPr>
          <w:cantSplit/>
        </w:trPr>
        <w:tc>
          <w:tcPr>
            <w:tcW w:w="10807" w:type="dxa"/>
            <w:shd w:val="clear" w:color="auto" w:fill="E6EBF1"/>
          </w:tcPr>
          <w:p>
            <w:r>
              <w:rPr>
                <w:b/>
                <w:color w:val="3D5A80"/>
                <w:sz w:val="22"/>
              </w:rPr>
              <w:t>En Paraguay — Qué evitar</w:t>
            </w:r>
          </w:p>
          <w:p>
            <w:pPr>
              <w:jc w:val="both"/>
            </w:pPr>
            <w:r>
              <w:rPr>
                <w:sz w:val="20"/>
              </w:rPr>
              <w:t>No representar el corredor como terminado si al imprimir no lo está: tramos en obra con línea discontinua.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6" w:h="18709"/>
      <w:pgMar w:top="720" w:right="720" w:bottom="720" w:left="7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137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137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D5A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