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R2, 22 de octubre de 2026.</w:t>
      </w:r>
    </w:p>
    <w:p>
      <w:pPr>
        <w:jc w:val="center"/>
      </w:pPr>
      <w:r>
        <w:rPr>
          <w:rFonts w:ascii="Calibri" w:hAnsi="Calibri"/>
          <w:b/>
          <w:i w:val="0"/>
          <w:color w:val="263238"/>
          <w:sz w:val="30"/>
        </w:rPr>
        <w:t>Plan Anual · Informática — 2.º Curso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0"/>
        </w:rPr>
        <w:t>Bachillerato Técnico en Contabilidad · Plan Específico · 2 horas cátedra semanales · República del Paraguay · 2026</w:t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8"/>
        </w:rPr>
        <w:t>Caso integrador: Estudio Contable Arandu, año 2 · Carga semanal de referencia del programa BTC: 2 horas cátedra. Distribución editorial ajustable al calendario institucional. Distribución anual: 36 encuentros / 72 horas cátedra: 20 núcleos de desarrollo, 14 prácticas de laboratorio en encuentro propio, 6 prácticas breves integradas en su clase (Prácticas 1, 4, 9, 11, 15 y 19) y 2 evaluaciones de etapa. Las seis evaluaciones de unidad se administran dentro del cierre de cada unidad.</w:t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8"/>
        </w:rPr>
        <w:t>Criterio de aplicación: 36 encuentros y 72 horas cátedra son la distribución editorial de referencia. Verificar calendario, duración de la hora cátedra y normativa vigente con la institución. En las prácticas se usa una sola estructura: Honorarios A=Cliente, B=Régimen, C=Honorario; total mensual C18. Egresos total B9. Resultado B2:B4 mensual y C2:C4 anual. Las tasas de Sueldos se guardan en G1 y G2. El programa de referencia nombra la página web de la SET; desde 2024 esas funciones corresponden a la DNIT (Ley 7143/2023).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567"/>
        <w:gridCol w:w="2494"/>
        <w:gridCol w:w="3685"/>
        <w:gridCol w:w="850"/>
        <w:gridCol w:w="3118"/>
        <w:gridCol w:w="2835"/>
        <w:gridCol w:w="2268"/>
      </w:tblGrid>
      <w:tr>
        <w:trPr>
          <w:cantSplit/>
        </w:trPr>
        <w:tc>
          <w:tcPr>
            <w:tcW w:type="dxa" w:w="567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494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TEMAS</w:t>
            </w:r>
          </w:p>
        </w:tc>
        <w:tc>
          <w:tcPr>
            <w:tcW w:type="dxa" w:w="3685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50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118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835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2268"/>
            <w:shd w:val="clear" w:color="auto" w:fill="5D403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1B4F72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 1 · de febrero a junio — Planilla electrónica básica e informes financieros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1 · La planilla electrónica del estudio</w:t>
            </w:r>
            <w:r>
              <w:rPr>
                <w:b w:val="0"/>
              </w:rPr>
              <w:t xml:space="preserve"> — Capacidad: 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Entorno del programa y elementos de la hoja de cálculo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diagnóstica escrita · exploración guiada del entorno del programa · rotulado colectivo de las zonas de la ventana · Práctica 1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diagnóstica (sin nota) · lista de cotejo del reconocimiento de las cinco zonas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Febrero · Incluye prueba diagnóstica en página propia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Creación y guardado de planillas; introducción y tipos de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Carga asistida de la cartera de clientes · clasificación de datos con ESNUMERO y revisión del contenido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Punto de control de la Práctica 2: dieciséis resultados VERDADERO de ESNUMERO sobre C2:C17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Febrero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Formato de celdas, filas y columnas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paso a paso de formato de moneda · comparación de una hoja antes y después del formato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Registro anecdótico del formato aplicado · revisión de que ninguna celda muestre ###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Marzo · Cierre de Unidad 1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2 · Fórmulas, referencias y configuración de hojas</w:t>
            </w:r>
            <w:r>
              <w:rPr>
                <w:b w:val="0"/>
              </w:rPr>
              <w:t xml:space="preserve"> — Capacidad: 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de fórmulas y operadores aritméticos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Escritura de la primera fórmula con referencias · prueba de recálculo cambiando un dato del caso · Práctica 4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Verificación de resultados: 12.150.000 y 145.800.000 en la planilla del estudiante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Marzo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Celdas absolutas y relativas; funciones de fecha y hora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Copiado de fórmulas hacia abajo con y sin signo $ · construcción de la planilla de sueldos del auxiliar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Punto de control aritmético: 306.000 + 3.094.000 = 3.400.000 y patronal 561.000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6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Configuración y edición de las hojas; opciones de visualización; encabezado y pie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Configuración de encabezado y pie en el libro del estudio · práctica de inmovilización de paneles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Revisión de la vista previa de impresión con encabezado y pie configurados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Abril · Cierre de Unidad 2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3 · Informes financieros con datos estadísticos y gráficos</w:t>
            </w:r>
            <w:r>
              <w:rPr>
                <w:b w:val="0"/>
              </w:rPr>
              <w:t xml:space="preserve"> — Capacidad: 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Fórmulas matemáticas y estadísticas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Aplicación comparada de las cinco funciones sobre un mismo rango · interpretación contable de cada resultado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Cuadro comparativo de las cinco funciones con su interpretación escrita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Creación y edición de gráficos; tipos de gráficos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Construcción de dos gráficos con la misma serie · debate sobre la elección del tipo de gráfico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Rúbrica del gráfico: título, ejes rotulados, leyenda y tipo pertinente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Inserción de objetos; filtrar y ordenar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Ordenamiento con y sin selección completa (error inducido) · filtrado por régimen · Práctica 9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práctica de filtrado: 5 filas en SIMPLE, 9 en RESIMPLE, 16 sin filtro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Impresión de planillas y gráficos; informes financieros, balances y libros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Armado de la hoja Resultado con vinculación entre hojas · control cruzado de las tres cifras del informe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Evaluación de la Unidad 3 · informe operativo con cifras y dos gráficos; balance auxiliar y asiento de ejemplo verificados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 · Cierre de Unidad 3 y evaluación de unidad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494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Evaluación de la Etapa 1</w:t>
            </w:r>
          </w:p>
        </w:tc>
        <w:tc>
          <w:tcPr>
            <w:tcW w:type="dxa" w:w="368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Integra los indicadores de las Unidades 1 a 3: entorno y datos, fórmulas y referencias, funciones, gráficos e informe financiero.</w:t>
            </w:r>
          </w:p>
        </w:tc>
        <w:tc>
          <w:tcPr>
            <w:tcW w:type="dxa" w:w="850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Resolución individual escrita sobre el caso del estudio, con acceso a la planilla construida durante la etapa</w:t>
            </w:r>
          </w:p>
        </w:tc>
        <w:tc>
          <w:tcPr>
            <w:tcW w:type="dxa" w:w="283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escrita de etapa (40 puntos) en página propia, con línea de identificación</w:t>
            </w:r>
          </w:p>
        </w:tc>
        <w:tc>
          <w:tcPr>
            <w:tcW w:type="dxa" w:w="226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Junio · Cierre de la Etapa 1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1B4F72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ETAPA 2 · de julio a noviembre — Diseño vectorial, planilla avanzada y portal tributario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4 · Editor de imágenes vectoriales y plan promocional</w:t>
            </w:r>
            <w:r>
              <w:rPr>
                <w:b w:val="0"/>
              </w:rPr>
              <w:t xml:space="preserve"> — Capacidad: Identifica el diseño gráfico a presentar. · 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11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Entorno del programa y configuración de página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Comparación visual de una imagen ampliada en vector y en píxeles · configuración de las tres páginas del pack · Práctica 11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Lista de cotejo de los tres archivos del pack con A4, tarjeta 90 × 50 mm y banner 2000 × 800 mm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Julio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Insertar objeto, relleno y bordes, formato y tipos de texto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Diseño guiado de la tarjeta personal · verificación de la gama de colores y las tipografías usadas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Rúbrica de la tarjeta: cuatro objetos, dos tipografías, uso correcto de los dos tipos de texto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13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Importar y editar imágenes; edición de nodos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Conversión de un rectángulo a curvas y edición de nodos · prueba de escalado desde esquina y desde lado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Observación directa del proceso de edición de nodos · comparación de escalados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14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Agrupar, soldar y alinear objetos; luces y sombras; exportación a distintos formatos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Ejecución comparada de agrupar, soldar y alinear sobre los mismos objetos · exportación a los formatos de entrega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Portafolio del pack promocional exportado (tres PDF para imprenta y PNG transparente del logo)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Septiembre · Cierre de Unidad 4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5 · Planilla avanzada administrativo-contable</w:t>
            </w:r>
            <w:r>
              <w:rPr>
                <w:b w:val="0"/>
              </w:rPr>
              <w:t xml:space="preserve"> — Capacidad: 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Formato condicional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Construcción del semáforo de cobranzas con tres reglas · prueba de cambio de valor y respuesta automática del formato · Práctica 15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de comportamiento del formato condicional al cambiar un valor de 10 a 45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Septiembre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16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Fórmulas avanzadas, lógicas y de texto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Escritura del SI anidado como ejercicio de lógica · cotejo entre la categoría tributaria previamente cargada y la clasificación didáctica reproducida por la fórmula · aclaración de que el régimen legal no se determina por el honorario del estudio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Control cruzado del solucionario: 9 + 5 + 2 = 16 clientes y 12.150.000 de honorarios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17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Tabla dinámica y gráficos dinámicos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Armado de la tabla dinámica arrastrando campos · verificación del cierre contra el total de la base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Verificación del total general de la tabla dinámica contra la base (12.150.000)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18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Protección de planillas, hojas y celdas; hipervínculos, nombres de rango y vinculación; gestión de base de datos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 xml:space="preserve">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de protección: escritura permitida en la columna de carga y bloqueada en las fórmulas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Octubre · Cierre de Unidad 5 y evaluación de unidad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color="auto" w:fill="455A64"/>
          </w:tcPr>
          <w:p>
            <w:pPr>
              <w:keepNext/>
              <w:spacing w:after="2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UNIDAD 6 · El portal tributario de la DNIT</w:t>
            </w:r>
            <w:r>
              <w:rPr>
                <w:b w:val="0"/>
              </w:rPr>
              <w:t xml:space="preserve"> — Capacidad: Recaba en la página web de la SET informaciones útiles inherentes a su especialidad (programa de referencia; hoy, portal de la DNIT).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19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Portal de la DNIT: servicios al contribuyente y sistema Marangatú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Navegación guiada del portal de la DNIT con ficha de registro · distinción práctica entre servicios con y sin clave · Práctica 19 del Cuaderno de Laboratorio integrada en este mismo encuentro.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Ficha de navegación del portal con cinco datos, su sección de origen y su fecha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Factura electrónica (e-Kuatia / e-Kuatia’i) y normativas legales vigentes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4 h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Reconstrucción gráfica del circuito del documento electrónico · consulta de RG DNIT 41/2025 y del cronograma progresivo vigente (incluida RG 52/2026) · búsqueda de la designación del contribuyente y redacción de la respuesta al cliente · Práctica 20 del Cuaderno de Laboratorio en encuentro propio.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Producción escrita: respuesta del estudio al cliente sobre facturación electrónica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 · Cierre de Unidad 6 y evaluación de unidad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494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Evaluación de la Etapa 2</w:t>
            </w:r>
          </w:p>
        </w:tc>
        <w:tc>
          <w:tcPr>
            <w:tcW w:type="dxa" w:w="368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Integra los indicadores de las Unidades 4 a 6: diseño vectorial y plan promocional, planilla avanzada para la toma de decisiones y uso del portal tributario.</w:t>
            </w:r>
          </w:p>
        </w:tc>
        <w:tc>
          <w:tcPr>
            <w:tcW w:type="dxa" w:w="850"/>
            <w:shd w:val="clear" w:color="auto" w:fill="EAF1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 w:val="0"/>
                <w:sz w:val="15"/>
              </w:rPr>
              <w:t>2 h</w:t>
            </w:r>
          </w:p>
        </w:tc>
        <w:tc>
          <w:tcPr>
            <w:tcW w:type="dxa" w:w="311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Resolución individual escrita con presentación del portafolio del pack promocional y de la ficha de navegación</w:t>
            </w:r>
          </w:p>
        </w:tc>
        <w:tc>
          <w:tcPr>
            <w:tcW w:type="dxa" w:w="2835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Prueba escrita de etapa (40 puntos) en página propia, con línea de identificación</w:t>
            </w:r>
          </w:p>
        </w:tc>
        <w:tc>
          <w:tcPr>
            <w:tcW w:type="dxa" w:w="2268"/>
            <w:shd w:val="clear" w:color="auto" w:fill="EAF1F6"/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Noviembre · Cierre de la Etapa 2 y del año lectivo</w:t>
            </w:r>
          </w:p>
        </w:tc>
      </w:tr>
    </w:tbl>
    <w:p/>
    <w:p>
      <w:pPr>
        <w:pStyle w:val="Heading2"/>
      </w:pPr>
      <w:r>
        <w:t>Criterios generales de evaluación</w:t>
      </w:r>
    </w:p>
    <w:p>
      <w:r>
        <w:rPr>
          <w:rFonts w:ascii="Calibri" w:hAnsi="Calibri"/>
          <w:b w:val="0"/>
          <w:i w:val="0"/>
          <w:sz w:val="18"/>
        </w:rPr>
        <w:t>• Evaluación de proceso: cada clase aporta evidencias observables mediante el punto de control de su práctica de laboratorio.</w:t>
      </w:r>
    </w:p>
    <w:p>
      <w:r>
        <w:rPr>
          <w:rFonts w:ascii="Calibri" w:hAnsi="Calibri"/>
          <w:b w:val="0"/>
          <w:i w:val="0"/>
          <w:sz w:val="18"/>
        </w:rPr>
        <w:t>• Evaluación de unidad al cierre de cada unidad (banda ámbar), en página propia y con línea de identificación del estudiante.</w:t>
      </w:r>
    </w:p>
    <w:p>
      <w:r>
        <w:rPr>
          <w:rFonts w:ascii="Calibri" w:hAnsi="Calibri"/>
          <w:b w:val="0"/>
          <w:i w:val="0"/>
          <w:sz w:val="18"/>
        </w:rPr>
        <w:t>• Evaluación de etapa en junio y en noviembre (banda azul), integrando los indicadores de las unidades comprendidas.</w:t>
      </w:r>
    </w:p>
    <w:p>
      <w:r>
        <w:rPr>
          <w:rFonts w:ascii="Calibri" w:hAnsi="Calibri"/>
          <w:b w:val="0"/>
          <w:i w:val="0"/>
          <w:sz w:val="18"/>
        </w:rPr>
        <w:t>• En las producciones con cifras del caso, el cierre aritmético es criterio de aprobación: un total que no cierra se rehace.</w:t>
      </w:r>
    </w:p>
    <w:p>
      <w:r>
        <w:rPr>
          <w:rFonts w:ascii="Calibri" w:hAnsi="Calibri"/>
          <w:b w:val="0"/>
          <w:i w:val="0"/>
          <w:sz w:val="18"/>
        </w:rPr>
        <w:t>• En las producciones gráficas se evalúa la pertinencia técnica (formato de entrega, escalado sin deformación) además de la creatividad.</w:t>
      </w:r>
    </w:p>
    <w:p>
      <w:r>
        <w:rPr>
          <w:rFonts w:ascii="Calibri" w:hAnsi="Calibri"/>
          <w:b w:val="0"/>
          <w:i w:val="0"/>
          <w:sz w:val="18"/>
        </w:rPr>
        <w:t>• La prueba diagnóstica no lleva nota: se usa como línea de base para comparar el avance al cierre de cada etapa.</w:t>
      </w:r>
    </w:p>
    <w:p>
      <w:pPr>
        <w:pStyle w:val="Heading2"/>
      </w:pPr>
      <w:r>
        <w:t>Estrategias de inclusión y atención a la diversidad</w:t>
      </w:r>
    </w:p>
    <w:p>
      <w:r>
        <w:rPr>
          <w:rFonts w:ascii="Calibri" w:hAnsi="Calibri"/>
          <w:b w:val="0"/>
          <w:i w:val="0"/>
          <w:sz w:val="18"/>
        </w:rPr>
        <w:t>• Prácticas de laboratorio en parejas rotativas cuando la cantidad de equipos disponibles sea menor que la de estudiantes.</w:t>
      </w:r>
    </w:p>
    <w:p>
      <w:r>
        <w:rPr>
          <w:rFonts w:ascii="Calibri" w:hAnsi="Calibri"/>
          <w:b w:val="0"/>
          <w:i w:val="0"/>
          <w:sz w:val="18"/>
        </w:rPr>
        <w:t>• Modelo resuelto disponible al inicio de cada práctica para quienes necesiten un andamiaje mayor; desafío final para quienes terminan antes.</w:t>
      </w:r>
    </w:p>
    <w:p>
      <w:r>
        <w:rPr>
          <w:rFonts w:ascii="Calibri" w:hAnsi="Calibri"/>
          <w:b w:val="0"/>
          <w:i w:val="0"/>
          <w:sz w:val="18"/>
        </w:rPr>
        <w:t>• Ampliación del tiempo y reducción de la cantidad de ítems en las evaluaciones para estudiantes con necesidades específicas de apoyo educativo.</w:t>
      </w:r>
    </w:p>
    <w:p>
      <w:r>
        <w:rPr>
          <w:rFonts w:ascii="Calibri" w:hAnsi="Calibri"/>
          <w:b w:val="0"/>
          <w:i w:val="0"/>
          <w:sz w:val="18"/>
        </w:rPr>
        <w:t>• Materiales impresos en alto contraste y ampliación de las figuras para estudiantes con baja visión.</w:t>
      </w:r>
    </w:p>
    <w:p>
      <w:r>
        <w:rPr>
          <w:rFonts w:ascii="Calibri" w:hAnsi="Calibri"/>
          <w:b w:val="0"/>
          <w:i w:val="0"/>
          <w:sz w:val="18"/>
        </w:rPr>
        <w:t>• Alternativa en papel cuadriculado para las prácticas de planilla cuando falle el equipamiento informático.</w:t>
      </w:r>
    </w:p>
    <w:p/>
    <w:p/>
    <w:p>
      <w:pPr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18"/>
        </w:rPr>
        <w:t>Firma y aclaración del docente</w:t>
      </w:r>
    </w:p>
    <w:sectPr w:rsidR="00FC693F" w:rsidRPr="0006063C" w:rsidSect="00034616">
      <w:footerReference w:type="default" r:id="rId9"/>
      <w:pgSz w:w="18709" w:h="1224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Plan Anual · Informática 2.º Curso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