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sectPr>
          <w:pgSz w:w="12240" w:h="18720"/>
          <w:pgMar w:top="720" w:right="720" w:bottom="720" w:left="720" w:header="0" w:footer="0" w:gutter="0"/>
        </w:sectPr>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plan_anual.png"/>
                    <pic:cNvPicPr/>
                  </pic:nvPicPr>
                  <pic:blipFill>
                    <a:blip r:embed="rId10"/>
                    <a:stretch>
                      <a:fillRect/>
                    </a:stretch>
                  </pic:blipFill>
                  <pic:spPr>
                    <a:xfrm>
                      <a:off x="0" y="0"/>
                      <a:ext cx="7776000" cy="11880000"/>
                    </a:xfrm>
                    <a:prstGeom prst="rect"/>
                  </pic:spPr>
                </pic:pic>
              </a:graphicData>
            </a:graphic>
          </wp:anchor>
        </w:drawing>
      </w:r>
    </w:p>
    <w:p>
      <w:pPr>
        <w:jc w:val="center"/>
      </w:pPr>
      <w:r>
        <w:rPr>
          <w:b/>
          <w:sz w:val="30"/>
        </w:rPr>
        <w:t>PLAN ANUAL DETALLADO</w:t>
      </w:r>
    </w:p>
    <w:p>
      <w:pPr>
        <w:jc w:val="center"/>
      </w:pPr>
      <w:r>
        <w:rPr>
          <w:sz w:val="20"/>
        </w:rPr>
        <w:t>Disciplina: Desarrollo Personal y Social  ·  Curso: 9.º grado  ·  Tercer Ciclo de la Educación Escolar Básica  ·  3 horas cátedra semanales  ·  36 encuentros / 108 HC</w:t>
      </w:r>
    </w:p>
    <w:p>
      <w:pPr>
        <w:jc w:val="center"/>
      </w:pPr>
      <w:r>
        <w:rPr>
          <w:i/>
          <w:sz w:val="18"/>
        </w:rPr>
        <w:t>República del Paraguay · 2026</w:t>
      </w:r>
    </w:p>
    <w:p/>
    <w:p>
      <w:pPr>
        <w:spacing w:after="80"/>
      </w:pPr>
      <w:r>
        <w:rPr>
          <w:b w:val="0"/>
          <w:i/>
          <w:color w:val="555555"/>
          <w:sz w:val="18"/>
        </w:rPr>
        <w:t>En este esquema editorial, cada encuentro dura 3 HC (horas cátedra), que equivalen a 120 minutos; los 36 encuentros suman 108 HC.</w:t>
      </w:r>
    </w:p>
    <w:tbl>
      <w:tblPr>
        <w:tblStyle w:val="TableGrid"/>
        <w:tblW w:type="auto" w:w="0"/>
        <w:tblLook w:firstColumn="1" w:firstRow="1" w:lastColumn="0" w:lastRow="0" w:noHBand="0" w:noVBand="1" w:val="04A0"/>
        <w:tblCellMar>
          <w:top w:w="40" w:type="dxa"/>
          <w:bottom w:w="40" w:type="dxa"/>
          <w:left w:w="80" w:type="dxa"/>
          <w:right w:w="80" w:type="dxa"/>
        </w:tblCellMar>
      </w:tblPr>
      <w:tblGrid>
        <w:gridCol w:w="2163"/>
        <w:gridCol w:w="2163"/>
        <w:gridCol w:w="2163"/>
        <w:gridCol w:w="2163"/>
        <w:gridCol w:w="2163"/>
        <w:gridCol w:w="2163"/>
        <w:gridCol w:w="2163"/>
      </w:tblGrid>
      <w:tr>
        <w:trPr>
          <w:cantSplit/>
          <w:tblHeader w:val="true"/>
        </w:trPr>
        <w:tc>
          <w:tcPr>
            <w:tcW w:type="dxa" w:w="624"/>
            <w:shd w:val="clear" w:fill="5D4037"/>
          </w:tcPr>
          <w:p>
            <w:pPr>
              <w:jc w:val="center"/>
            </w:pPr>
            <w:r>
              <w:rPr>
                <w:rFonts w:ascii="Arial" w:hAnsi="Arial"/>
                <w:b/>
                <w:color w:val="FFFFFF"/>
                <w:sz w:val="17"/>
              </w:rPr>
              <w:t>N°</w:t>
            </w:r>
          </w:p>
        </w:tc>
        <w:tc>
          <w:tcPr>
            <w:tcW w:type="dxa" w:w="2948"/>
            <w:shd w:val="clear" w:fill="5D4037"/>
          </w:tcPr>
          <w:p>
            <w:pPr>
              <w:jc w:val="center"/>
            </w:pPr>
            <w:r>
              <w:rPr>
                <w:rFonts w:ascii="Arial" w:hAnsi="Arial"/>
                <w:b/>
                <w:color w:val="FFFFFF"/>
                <w:sz w:val="17"/>
              </w:rPr>
              <w:t>TEMAS</w:t>
            </w:r>
          </w:p>
        </w:tc>
        <w:tc>
          <w:tcPr>
            <w:tcW w:type="dxa" w:w="4082"/>
            <w:shd w:val="clear" w:fill="5D4037"/>
          </w:tcPr>
          <w:p>
            <w:pPr>
              <w:jc w:val="center"/>
            </w:pPr>
            <w:r>
              <w:rPr>
                <w:rFonts w:ascii="Arial" w:hAnsi="Arial"/>
                <w:b/>
                <w:color w:val="FFFFFF"/>
                <w:sz w:val="17"/>
              </w:rPr>
              <w:t>INDICADORES DE LOGRO</w:t>
            </w:r>
          </w:p>
        </w:tc>
        <w:tc>
          <w:tcPr>
            <w:tcW w:type="dxa" w:w="964"/>
            <w:shd w:val="clear" w:fill="5D4037"/>
          </w:tcPr>
          <w:p>
            <w:pPr>
              <w:jc w:val="center"/>
            </w:pPr>
            <w:r>
              <w:rPr>
                <w:rFonts w:ascii="Arial" w:hAnsi="Arial"/>
                <w:b/>
                <w:color w:val="FFFFFF"/>
                <w:sz w:val="17"/>
              </w:rPr>
              <w:t>TIEMPO</w:t>
            </w:r>
          </w:p>
        </w:tc>
        <w:tc>
          <w:tcPr>
            <w:tcW w:type="dxa" w:w="3175"/>
            <w:shd w:val="clear" w:fill="5D4037"/>
          </w:tcPr>
          <w:p>
            <w:pPr>
              <w:jc w:val="center"/>
            </w:pPr>
            <w:r>
              <w:rPr>
                <w:rFonts w:ascii="Arial" w:hAnsi="Arial"/>
                <w:b/>
                <w:color w:val="FFFFFF"/>
                <w:sz w:val="17"/>
              </w:rPr>
              <w:t>PROCEDIMIENTOS</w:t>
            </w:r>
          </w:p>
        </w:tc>
        <w:tc>
          <w:tcPr>
            <w:tcW w:type="dxa" w:w="2494"/>
            <w:shd w:val="clear" w:fill="5D4037"/>
          </w:tcPr>
          <w:p>
            <w:pPr>
              <w:jc w:val="center"/>
            </w:pPr>
            <w:r>
              <w:rPr>
                <w:rFonts w:ascii="Arial" w:hAnsi="Arial"/>
                <w:b/>
                <w:color w:val="FFFFFF"/>
                <w:sz w:val="17"/>
              </w:rPr>
              <w:t>INSTRUMENTOS DE EVALUACIÓN</w:t>
            </w:r>
          </w:p>
        </w:tc>
        <w:tc>
          <w:tcPr>
            <w:tcW w:type="dxa" w:w="1701"/>
            <w:shd w:val="clear" w:fill="5D4037"/>
          </w:tcPr>
          <w:p>
            <w:pPr>
              <w:jc w:val="center"/>
            </w:pPr>
            <w:r>
              <w:rPr>
                <w:rFonts w:ascii="Arial" w:hAnsi="Arial"/>
                <w:b/>
                <w:color w:val="FFFFFF"/>
                <w:sz w:val="17"/>
              </w:rPr>
              <w:t>OBSERVACIÓN</w:t>
            </w:r>
          </w:p>
        </w:tc>
      </w:tr>
      <w:tr>
        <w:trPr>
          <w:cantSplit/>
        </w:trPr>
        <w:tc>
          <w:tcPr>
            <w:tcW w:type="dxa" w:w="15988"/>
            <w:gridSpan w:val="7"/>
            <w:shd w:val="clear" w:fill="1B4F72"/>
          </w:tcPr>
          <w:p>
            <w:r>
              <w:rPr>
                <w:rFonts w:ascii="Arial" w:hAnsi="Arial"/>
                <w:b/>
                <w:color w:val="FFFFFF"/>
                <w:sz w:val="18"/>
              </w:rPr>
              <w:t>PRIMERA ETAPA · Febrero – junio (cierre: junio)</w:t>
            </w:r>
          </w:p>
        </w:tc>
      </w:tr>
      <w:tr>
        <w:trPr>
          <w:cantSplit/>
        </w:trPr>
        <w:tc>
          <w:tcPr>
            <w:tcW w:type="dxa" w:w="15988"/>
            <w:gridSpan w:val="7"/>
            <w:shd w:val="clear" w:fill="8E5AA0"/>
          </w:tcPr>
          <w:p>
            <w:r>
              <w:rPr>
                <w:rFonts w:ascii="Arial" w:hAnsi="Arial"/>
                <w:b/>
                <w:color w:val="FFFFFF"/>
                <w:sz w:val="18"/>
              </w:rPr>
              <w:t>UNIDAD 1 — SENTIDO DE PERTENENCIA</w:t>
            </w:r>
          </w:p>
          <w:p>
            <w:r>
              <w:rPr>
                <w:rFonts w:ascii="Arial" w:hAnsi="Arial"/>
                <w:b/>
                <w:color w:val="FFFFFF"/>
                <w:sz w:val="18"/>
              </w:rPr>
              <w:t xml:space="preserve">Capacidades (programa MEC): «Establece relaciones armónicas en su comunicación interpersonal con los miembros de la comunidad educativa.» «Interpreta los criterios de evaluación a ser considerados en el noveno grado en sus distintas funciones.»</w:t>
            </w:r>
          </w:p>
          <w:p>
            <w:r>
              <w:rPr>
                <w:rFonts w:ascii="Arial" w:hAnsi="Arial"/>
                <w:b/>
                <w:color w:val="FFFFFF"/>
                <w:sz w:val="18"/>
              </w:rPr>
              <w:t>Período aproximado: Febrero – marzo</w:t>
            </w:r>
          </w:p>
        </w:tc>
      </w:tr>
      <w:tr>
        <w:trPr>
          <w:cantSplit/>
        </w:trPr>
        <w:tc>
          <w:tcPr>
            <w:tcW w:type="dxa" w:w="624"/>
          </w:tcPr>
          <w:p>
            <w:pPr>
              <w:jc w:val="center"/>
            </w:pPr>
            <w:r>
              <w:rPr>
                <w:rFonts w:ascii="Arial" w:hAnsi="Arial"/>
                <w:b/>
                <w:sz w:val="17"/>
              </w:rPr>
              <w:t>1</w:t>
            </w:r>
          </w:p>
        </w:tc>
        <w:tc>
          <w:tcPr>
            <w:tcW w:type="dxa" w:w="2948"/>
          </w:tcPr>
          <w:p>
            <w:r>
              <w:rPr>
                <w:rFonts w:ascii="Arial" w:hAnsi="Arial"/>
                <w:b w:val="0"/>
                <w:sz w:val="17"/>
              </w:rPr>
              <w:t>Clase 1: Comunicarse bien: la base de la convivencia — La comunicación interpersonal: elementos, escucha activa y su papel en la convivencia del 9.º grado.</w:t>
            </w:r>
          </w:p>
        </w:tc>
        <w:tc>
          <w:tcPr>
            <w:tcW w:type="dxa" w:w="4082"/>
          </w:tcPr>
          <w:p>
            <w:r>
              <w:rPr>
                <w:rFonts w:ascii="Arial" w:hAnsi="Arial"/>
                <w:b w:val="0"/>
                <w:sz w:val="17"/>
              </w:rPr>
              <w:t>• Identifica los elementos de la comunicación en situaciones reales del aula.</w:t>
            </w:r>
          </w:p>
          <w:p>
            <w:r>
              <w:rPr>
                <w:rFonts w:ascii="Arial" w:hAnsi="Arial"/>
                <w:b w:val="0"/>
                <w:sz w:val="17"/>
              </w:rPr>
              <w:t>• Aplica al menos dos técnicas de escucha activa en un diálogo con un compañero.</w:t>
            </w:r>
          </w:p>
          <w:p>
            <w:r>
              <w:rPr>
                <w:rFonts w:ascii="Arial" w:hAnsi="Arial"/>
                <w:b w:val="0"/>
                <w:sz w:val="17"/>
              </w:rPr>
              <w:t>• Explica cómo la buena comunicación mejora la convivencia en su comunidad educativa.</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Prueba diagnóstica de saberes previos. Juego del teléfono descompuesto con análisis de los elementos de la comunicación y práctica en parejas de escucha activa.</w:t>
            </w:r>
          </w:p>
        </w:tc>
        <w:tc>
          <w:tcPr>
            <w:tcW w:type="dxa" w:w="2494"/>
          </w:tcPr>
          <w:p>
            <w:r>
              <w:rPr>
                <w:rFonts w:ascii="Arial" w:hAnsi="Arial"/>
                <w:b w:val="0"/>
                <w:sz w:val="17"/>
              </w:rPr>
              <w:t>Prueba diagnóstica. Lista de cotejo de técnicas de escucha activa aplicadas en la práctica en parejas.</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w:t>
            </w:r>
          </w:p>
        </w:tc>
        <w:tc>
          <w:tcPr>
            <w:tcW w:type="dxa" w:w="2948"/>
          </w:tcPr>
          <w:p>
            <w:r>
              <w:rPr>
                <w:rFonts w:ascii="Arial" w:hAnsi="Arial"/>
                <w:b w:val="0"/>
                <w:sz w:val="17"/>
              </w:rPr>
              <w:t>Clase 2: Estilos de comunicación: decir lo que pensás, con respeto — Estilos de comunicación (pasivo, agresivo, asertivo) y barreras de la comunicación con docentes, compañeros y otros actores.</w:t>
            </w:r>
          </w:p>
        </w:tc>
        <w:tc>
          <w:tcPr>
            <w:tcW w:type="dxa" w:w="4082"/>
          </w:tcPr>
          <w:p>
            <w:r>
              <w:rPr>
                <w:rFonts w:ascii="Arial" w:hAnsi="Arial"/>
                <w:b w:val="0"/>
                <w:sz w:val="17"/>
              </w:rPr>
              <w:t>• Distingue los estilos pasivo, agresivo y asertivo en situaciones escolares dadas.</w:t>
            </w:r>
          </w:p>
          <w:p>
            <w:r>
              <w:rPr>
                <w:rFonts w:ascii="Arial" w:hAnsi="Arial"/>
                <w:b w:val="0"/>
                <w:sz w:val="17"/>
              </w:rPr>
              <w:t>• Reformula mensajes agresivos o pasivos en versión asertiva.</w:t>
            </w:r>
          </w:p>
          <w:p>
            <w:r>
              <w:rPr>
                <w:rFonts w:ascii="Arial" w:hAnsi="Arial"/>
                <w:b w:val="0"/>
                <w:sz w:val="17"/>
              </w:rPr>
              <w:t>• Identifica barreras de la comunicación presentes en su vida diaria y propone cómo reducirlas.</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Dramatización con «doblaje asertivo» de situaciones escolares y reformulación escrita de mensajes con la fórmula hecho–efecto–pedido.</w:t>
            </w:r>
          </w:p>
        </w:tc>
        <w:tc>
          <w:tcPr>
            <w:tcW w:type="dxa" w:w="2494"/>
          </w:tcPr>
          <w:p>
            <w:r>
              <w:rPr>
                <w:rFonts w:ascii="Arial" w:hAnsi="Arial"/>
                <w:b w:val="0"/>
                <w:sz w:val="17"/>
              </w:rPr>
              <w:t>Rúbrica breve de la dramatización (claridad, respeto, fórmula completa) y corrección de las reformulaciones escritas.</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3</w:t>
            </w:r>
          </w:p>
        </w:tc>
        <w:tc>
          <w:tcPr>
            <w:tcW w:type="dxa" w:w="2948"/>
          </w:tcPr>
          <w:p>
            <w:r>
              <w:rPr>
                <w:rFonts w:ascii="Arial" w:hAnsi="Arial"/>
                <w:b w:val="0"/>
                <w:sz w:val="17"/>
              </w:rPr>
              <w:t>Clase 3: Cómo se evalúa y se promociona el 9.º grado — El sistema de evaluación del tercer ciclo: capacidades, indicadores, evidencias, etapas y criterios de promoción vigentes.</w:t>
            </w:r>
          </w:p>
        </w:tc>
        <w:tc>
          <w:tcPr>
            <w:tcW w:type="dxa" w:w="4082"/>
          </w:tcPr>
          <w:p>
            <w:r>
              <w:rPr>
                <w:rFonts w:ascii="Arial" w:hAnsi="Arial"/>
                <w:b w:val="0"/>
                <w:sz w:val="17"/>
              </w:rPr>
              <w:t>• Explica el recorrido que va de las capacidades a la calificación final.</w:t>
            </w:r>
          </w:p>
          <w:p>
            <w:r>
              <w:rPr>
                <w:rFonts w:ascii="Arial" w:hAnsi="Arial"/>
                <w:b w:val="0"/>
                <w:sz w:val="17"/>
              </w:rPr>
              <w:t>• Interpreta la escala y los criterios de promoción vigentes a partir de la comunicación oficial de la institución y del MEC.</w:t>
            </w:r>
          </w:p>
          <w:p>
            <w:r>
              <w:rPr>
                <w:rFonts w:ascii="Arial" w:hAnsi="Arial"/>
                <w:b w:val="0"/>
                <w:sz w:val="17"/>
              </w:rPr>
              <w:t>• Identifica qué evidencias de aprendizaje se valoran en cada etapa del año.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Lectura guiada del recorrido de la evaluación y construcción grupal del «tablero de la etapa» aplicado a una materia real.</w:t>
            </w:r>
          </w:p>
        </w:tc>
        <w:tc>
          <w:tcPr>
            <w:tcW w:type="dxa" w:w="2494"/>
          </w:tcPr>
          <w:p>
            <w:r>
              <w:rPr>
                <w:rFonts w:ascii="Arial" w:hAnsi="Arial"/>
                <w:b w:val="0"/>
                <w:sz w:val="17"/>
              </w:rPr>
              <w:t>Valoración del afiche grupal (recorrido completo y evidencias pertinentes) y del ejercitario individual.</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4</w:t>
            </w:r>
          </w:p>
        </w:tc>
        <w:tc>
          <w:tcPr>
            <w:tcW w:type="dxa" w:w="2948"/>
          </w:tcPr>
          <w:p>
            <w:r>
              <w:rPr>
                <w:rFonts w:ascii="Arial" w:hAnsi="Arial"/>
                <w:b w:val="0"/>
                <w:sz w:val="17"/>
              </w:rPr>
              <w:t>Evaluación de la Unidad 1 — Sentido de pertenencia</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Resolución individual de la evaluación de la Unidad 1 y autoidentificación de necesidades de refuerzo.</w:t>
            </w:r>
          </w:p>
        </w:tc>
        <w:tc>
          <w:tcPr>
            <w:tcW w:type="dxa" w:w="2494"/>
          </w:tcPr>
          <w:p>
            <w:r>
              <w:rPr>
                <w:rFonts w:ascii="Arial" w:hAnsi="Arial"/>
                <w:b w:val="0"/>
                <w:sz w:val="17"/>
              </w:rPr>
              <w:t>Prueba fotocopiable de la Unidad 1; registro docente de indicadores logrados y no logrados.</w:t>
            </w:r>
          </w:p>
        </w:tc>
        <w:tc>
          <w:tcPr>
            <w:tcW w:type="dxa" w:w="1701"/>
          </w:tcPr>
          <w:p>
            <w:r>
              <w:rPr>
                <w:rFonts w:ascii="Arial" w:hAnsi="Arial"/>
                <w:b w:val="0"/>
                <w:sz w:val="17"/>
              </w:rPr>
              <w:t>Cierre de la Unidad 1.</w:t>
            </w:r>
          </w:p>
        </w:tc>
      </w:tr>
      <w:tr>
        <w:trPr>
          <w:cantSplit/>
        </w:trPr>
        <w:tc>
          <w:tcPr>
            <w:tcW w:type="dxa" w:w="15988"/>
            <w:gridSpan w:val="7"/>
            <w:shd w:val="clear" w:fill="8E5AA0"/>
          </w:tcPr>
          <w:p>
            <w:r>
              <w:rPr>
                <w:rFonts w:ascii="Arial" w:hAnsi="Arial"/>
                <w:b/>
                <w:color w:val="FFFFFF"/>
                <w:sz w:val="18"/>
              </w:rPr>
              <w:t>UNIDAD 2 — AUTOCONOCIMIENTO Y ORIENTACIÓN VOCACIONAL</w:t>
            </w:r>
          </w:p>
          <w:p>
            <w:r>
              <w:rPr>
                <w:rFonts w:ascii="Arial" w:hAnsi="Arial"/>
                <w:b/>
                <w:color w:val="FFFFFF"/>
                <w:sz w:val="18"/>
              </w:rPr>
              <w:t xml:space="preserve">Capacidades (programa MEC): «Reconoce la importancia de conocerse a sí mismo, sus intereses, sus habilidades, sus potencialidades y sus preferencias.» «Interpreta lo positivo de una Orientación Vocacional para la acertada elección del Bachillerato (ofertas educativas posteriores al tercer ciclo).»</w:t>
            </w:r>
          </w:p>
          <w:p>
            <w:r>
              <w:rPr>
                <w:rFonts w:ascii="Arial" w:hAnsi="Arial"/>
                <w:b/>
                <w:color w:val="FFFFFF"/>
                <w:sz w:val="18"/>
              </w:rPr>
              <w:t>Período aproximado: Marzo – abril</w:t>
            </w:r>
          </w:p>
        </w:tc>
      </w:tr>
      <w:tr>
        <w:trPr>
          <w:cantSplit/>
        </w:trPr>
        <w:tc>
          <w:tcPr>
            <w:tcW w:type="dxa" w:w="624"/>
          </w:tcPr>
          <w:p>
            <w:pPr>
              <w:jc w:val="center"/>
            </w:pPr>
            <w:r>
              <w:rPr>
                <w:rFonts w:ascii="Arial" w:hAnsi="Arial"/>
                <w:b/>
                <w:sz w:val="17"/>
              </w:rPr>
              <w:t>5</w:t>
            </w:r>
          </w:p>
        </w:tc>
        <w:tc>
          <w:tcPr>
            <w:tcW w:type="dxa" w:w="2948"/>
          </w:tcPr>
          <w:p>
            <w:r>
              <w:rPr>
                <w:rFonts w:ascii="Arial" w:hAnsi="Arial"/>
                <w:b w:val="0"/>
                <w:sz w:val="17"/>
              </w:rPr>
              <w:t>Clase 4: Conocerse a sí mismo: el análisis interno objetivo — El autoconocimiento como base de las decisiones: análisis interno objetivo de fortalezas, debilidades, oportunidades y riesgos.</w:t>
            </w:r>
          </w:p>
        </w:tc>
        <w:tc>
          <w:tcPr>
            <w:tcW w:type="dxa" w:w="4082"/>
          </w:tcPr>
          <w:p>
            <w:r>
              <w:rPr>
                <w:rFonts w:ascii="Arial" w:hAnsi="Arial"/>
                <w:b w:val="0"/>
                <w:sz w:val="17"/>
              </w:rPr>
              <w:t>• Explica por qué el autoconocimiento es la base de una buena elección vocacional.</w:t>
            </w:r>
          </w:p>
          <w:p>
            <w:r>
              <w:rPr>
                <w:rFonts w:ascii="Arial" w:hAnsi="Arial"/>
                <w:b w:val="0"/>
                <w:sz w:val="17"/>
              </w:rPr>
              <w:t>• Elabora su análisis interno objetivo distinguiendo fortalezas, debilidades, oportunidades y riesgos.</w:t>
            </w:r>
          </w:p>
          <w:p>
            <w:r>
              <w:rPr>
                <w:rFonts w:ascii="Arial" w:hAnsi="Arial"/>
                <w:b w:val="0"/>
                <w:sz w:val="17"/>
              </w:rPr>
              <w:t>• Diferencia una autoevaluación objetiva de una autocrítica destructiva o de una autoimagen inflada.</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Autoexploración individual privada (sin nota) y análisis en parejas de un perfil ficticio en cuatro cuadrantes.</w:t>
            </w:r>
          </w:p>
        </w:tc>
        <w:tc>
          <w:tcPr>
            <w:tcW w:type="dxa" w:w="2494"/>
          </w:tcPr>
          <w:p>
            <w:r>
              <w:rPr>
                <w:rFonts w:ascii="Arial" w:hAnsi="Arial"/>
                <w:b w:val="0"/>
                <w:sz w:val="17"/>
              </w:rPr>
              <w:t>Ficha de análisis de un caso ficticio (clasificación y evidencias). El cuadro personal es privado y no se califica.</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6</w:t>
            </w:r>
          </w:p>
        </w:tc>
        <w:tc>
          <w:tcPr>
            <w:tcW w:type="dxa" w:w="2948"/>
          </w:tcPr>
          <w:p>
            <w:r>
              <w:rPr>
                <w:rFonts w:ascii="Arial" w:hAnsi="Arial"/>
                <w:b w:val="0"/>
                <w:sz w:val="17"/>
              </w:rPr>
              <w:t>Clase 5: Orientación vocacional: vocación y profesión — La orientación vocacional: concepto, diferencia entre vocación y profesión, y su aporte a la elección del bachillerato.</w:t>
            </w:r>
          </w:p>
        </w:tc>
        <w:tc>
          <w:tcPr>
            <w:tcW w:type="dxa" w:w="4082"/>
          </w:tcPr>
          <w:p>
            <w:r>
              <w:rPr>
                <w:rFonts w:ascii="Arial" w:hAnsi="Arial"/>
                <w:b w:val="0"/>
                <w:sz w:val="17"/>
              </w:rPr>
              <w:t>• Define orientación vocacional y explica para qué sirve en el 9.º grado.</w:t>
            </w:r>
          </w:p>
          <w:p>
            <w:r>
              <w:rPr>
                <w:rFonts w:ascii="Arial" w:hAnsi="Arial"/>
                <w:b w:val="0"/>
                <w:sz w:val="17"/>
              </w:rPr>
              <w:t>• Diferencia vocación de profesión con ejemplos propios.</w:t>
            </w:r>
          </w:p>
          <w:p>
            <w:r>
              <w:rPr>
                <w:rFonts w:ascii="Arial" w:hAnsi="Arial"/>
                <w:b w:val="0"/>
                <w:sz w:val="17"/>
              </w:rPr>
              <w:t>• Reconoce que la orientación vocacional acompaña la decisión, pero no la impone.</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Exploración guiada del par vocación–profesión y construcción grupal del mapa de profesiones de una vocación.</w:t>
            </w:r>
          </w:p>
        </w:tc>
        <w:tc>
          <w:tcPr>
            <w:tcW w:type="dxa" w:w="2494"/>
          </w:tcPr>
          <w:p>
            <w:r>
              <w:rPr>
                <w:rFonts w:ascii="Arial" w:hAnsi="Arial"/>
                <w:b w:val="0"/>
                <w:sz w:val="17"/>
              </w:rPr>
              <w:t>Valoración del mapa grupal (variedad y pertinencia de profesiones) y del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7</w:t>
            </w:r>
          </w:p>
        </w:tc>
        <w:tc>
          <w:tcPr>
            <w:tcW w:type="dxa" w:w="2948"/>
          </w:tcPr>
          <w:p>
            <w:r>
              <w:rPr>
                <w:rFonts w:ascii="Arial" w:hAnsi="Arial"/>
                <w:b w:val="0"/>
                <w:sz w:val="17"/>
              </w:rPr>
              <w:t>Clase 6: Intereses, inteligencia, personalidad y aptitudes — Los cuatro factores personales de la elección: intereses, inteligencia, personalidad y aptitudes.</w:t>
            </w:r>
          </w:p>
        </w:tc>
        <w:tc>
          <w:tcPr>
            <w:tcW w:type="dxa" w:w="4082"/>
          </w:tcPr>
          <w:p>
            <w:r>
              <w:rPr>
                <w:rFonts w:ascii="Arial" w:hAnsi="Arial"/>
                <w:b w:val="0"/>
                <w:sz w:val="17"/>
              </w:rPr>
              <w:t>• Distingue intereses, inteligencia/capacidades cognitivas, personalidad y aptitudes como fuentes de información orientadora.</w:t>
            </w:r>
          </w:p>
          <w:p>
            <w:r>
              <w:rPr>
                <w:rFonts w:ascii="Arial" w:hAnsi="Arial"/>
                <w:b w:val="0"/>
                <w:sz w:val="17"/>
              </w:rPr>
              <w:t>• Identifica sus propios intereses y aptitudes con ejemplos concretos.</w:t>
            </w:r>
          </w:p>
          <w:p>
            <w:r>
              <w:rPr>
                <w:rFonts w:ascii="Arial" w:hAnsi="Arial"/>
                <w:b w:val="0"/>
                <w:sz w:val="17"/>
              </w:rPr>
              <w:t>• Explica por qué ninguna capacidad cognitiva, rasgo de personalidad o etiqueta de aprendizaje determina por sí sola la elección del bachillerato.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Trabajo privado de autoexploración (sin nota) y análisis grupal de perfiles ficticios preparados por el docente.</w:t>
            </w:r>
          </w:p>
        </w:tc>
        <w:tc>
          <w:tcPr>
            <w:tcW w:type="dxa" w:w="2494"/>
          </w:tcPr>
          <w:p>
            <w:r>
              <w:rPr>
                <w:rFonts w:ascii="Arial" w:hAnsi="Arial"/>
                <w:b w:val="0"/>
                <w:sz w:val="17"/>
              </w:rPr>
              <w:t>Resolución de un perfil ficticio con identificación de los cuatro factores y explicación de qué información adicional sería necesaria; la autoexploración personal no se califica.</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8</w:t>
            </w:r>
          </w:p>
        </w:tc>
        <w:tc>
          <w:tcPr>
            <w:tcW w:type="dxa" w:w="2948"/>
          </w:tcPr>
          <w:p>
            <w:r>
              <w:rPr>
                <w:rFonts w:ascii="Arial" w:hAnsi="Arial"/>
                <w:b w:val="0"/>
                <w:sz w:val="17"/>
              </w:rPr>
              <w:t>Clase 7: El test vocacional y la elección del bachillerato — Aplicación e interpretación del test vocacional; la oferta educativa posterior al tercer ciclo y los criterios para elegir.</w:t>
            </w:r>
          </w:p>
        </w:tc>
        <w:tc>
          <w:tcPr>
            <w:tcW w:type="dxa" w:w="4082"/>
          </w:tcPr>
          <w:p>
            <w:r>
              <w:rPr>
                <w:rFonts w:ascii="Arial" w:hAnsi="Arial"/>
                <w:b w:val="0"/>
                <w:sz w:val="17"/>
              </w:rPr>
              <w:t>• Interpreta los resultados de un test vocacional como orientación y no como sentencia.</w:t>
            </w:r>
          </w:p>
          <w:p>
            <w:r>
              <w:rPr>
                <w:rFonts w:ascii="Arial" w:hAnsi="Arial"/>
                <w:b w:val="0"/>
                <w:sz w:val="17"/>
              </w:rPr>
              <w:t>• Describe la oferta educativa posterior al 9.º grado: bachillerato científico, técnico y formación profesional.</w:t>
            </w:r>
          </w:p>
          <w:p>
            <w:r>
              <w:rPr>
                <w:rFonts w:ascii="Arial" w:hAnsi="Arial"/>
                <w:b w:val="0"/>
                <w:sz w:val="17"/>
              </w:rPr>
              <w:t>• Formula criterios propios para su elección de bachillerato.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Aplicación orientadora de un test vocacional con interpretación acompañada e investigación grupal para el panel de opciones de la zona.</w:t>
            </w:r>
          </w:p>
        </w:tc>
        <w:tc>
          <w:tcPr>
            <w:tcW w:type="dxa" w:w="2494"/>
          </w:tcPr>
          <w:p>
            <w:r>
              <w:rPr>
                <w:rFonts w:ascii="Arial" w:hAnsi="Arial"/>
                <w:b w:val="0"/>
                <w:sz w:val="17"/>
              </w:rPr>
              <w:t>Panel comparativo grupal (calidad de la información recogida) y resolución escrita de un caso de elección con criterios explícitos. El resultado del test y la elección real del estudiante son privados y no se califican.</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9</w:t>
            </w:r>
          </w:p>
        </w:tc>
        <w:tc>
          <w:tcPr>
            <w:tcW w:type="dxa" w:w="2948"/>
          </w:tcPr>
          <w:p>
            <w:r>
              <w:rPr>
                <w:rFonts w:ascii="Arial" w:hAnsi="Arial"/>
                <w:b w:val="0"/>
                <w:sz w:val="17"/>
              </w:rPr>
              <w:t>Evaluación de la Unidad 2 — Autoconocimiento y orientación vocacional</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Resolución individual de la evaluación de la Unidad 2 y autoidentificación de necesidades de refuerzo.</w:t>
            </w:r>
          </w:p>
        </w:tc>
        <w:tc>
          <w:tcPr>
            <w:tcW w:type="dxa" w:w="2494"/>
          </w:tcPr>
          <w:p>
            <w:r>
              <w:rPr>
                <w:rFonts w:ascii="Arial" w:hAnsi="Arial"/>
                <w:b w:val="0"/>
                <w:sz w:val="17"/>
              </w:rPr>
              <w:t>Prueba fotocopiable de la Unidad 2; registro docente de indicadores logrados y no logrados.</w:t>
            </w:r>
          </w:p>
        </w:tc>
        <w:tc>
          <w:tcPr>
            <w:tcW w:type="dxa" w:w="1701"/>
          </w:tcPr>
          <w:p>
            <w:r>
              <w:rPr>
                <w:rFonts w:ascii="Arial" w:hAnsi="Arial"/>
                <w:b w:val="0"/>
                <w:sz w:val="17"/>
              </w:rPr>
              <w:t>Cierre de la Unidad 2.</w:t>
            </w:r>
          </w:p>
        </w:tc>
      </w:tr>
      <w:tr>
        <w:trPr>
          <w:cantSplit/>
        </w:trPr>
        <w:tc>
          <w:tcPr>
            <w:tcW w:type="dxa" w:w="15988"/>
            <w:gridSpan w:val="7"/>
            <w:shd w:val="clear" w:fill="8E5AA0"/>
          </w:tcPr>
          <w:p>
            <w:r>
              <w:rPr>
                <w:rFonts w:ascii="Arial" w:hAnsi="Arial"/>
                <w:b/>
                <w:color w:val="FFFFFF"/>
                <w:sz w:val="18"/>
              </w:rPr>
              <w:t>UNIDAD 3 — VIDA AFECTIVA</w:t>
            </w:r>
          </w:p>
          <w:p>
            <w:r>
              <w:rPr>
                <w:rFonts w:ascii="Arial" w:hAnsi="Arial"/>
                <w:b/>
                <w:color w:val="FFFFFF"/>
                <w:sz w:val="18"/>
              </w:rPr>
              <w:t xml:space="preserve">Capacidades (programa MEC): «Expresa sus emociones de manera equilibrada, demostrando autocontrol en sus actividades.» «Conoce la implicancia de la sexualidad como componente de la personalidad.»</w:t>
            </w:r>
          </w:p>
          <w:p>
            <w:r>
              <w:rPr>
                <w:rFonts w:ascii="Arial" w:hAnsi="Arial"/>
                <w:b/>
                <w:color w:val="FFFFFF"/>
                <w:sz w:val="18"/>
              </w:rPr>
              <w:t>Período aproximado: Abril – junio</w:t>
            </w:r>
          </w:p>
        </w:tc>
      </w:tr>
      <w:tr>
        <w:trPr>
          <w:cantSplit/>
        </w:trPr>
        <w:tc>
          <w:tcPr>
            <w:tcW w:type="dxa" w:w="624"/>
          </w:tcPr>
          <w:p>
            <w:pPr>
              <w:jc w:val="center"/>
            </w:pPr>
            <w:r>
              <w:rPr>
                <w:rFonts w:ascii="Arial" w:hAnsi="Arial"/>
                <w:b/>
                <w:sz w:val="17"/>
              </w:rPr>
              <w:t>10</w:t>
            </w:r>
          </w:p>
        </w:tc>
        <w:tc>
          <w:tcPr>
            <w:tcW w:type="dxa" w:w="2948"/>
          </w:tcPr>
          <w:p>
            <w:r>
              <w:rPr>
                <w:rFonts w:ascii="Arial" w:hAnsi="Arial"/>
                <w:b w:val="0"/>
                <w:sz w:val="17"/>
              </w:rPr>
              <w:t>Clase 8: Las emociones: qué son y de qué tipos hay — Las emociones: concepto, tipos (agradables y desagradables) y su función en la vida diaria.</w:t>
            </w:r>
          </w:p>
        </w:tc>
        <w:tc>
          <w:tcPr>
            <w:tcW w:type="dxa" w:w="4082"/>
          </w:tcPr>
          <w:p>
            <w:r>
              <w:rPr>
                <w:rFonts w:ascii="Arial" w:hAnsi="Arial"/>
                <w:b w:val="0"/>
                <w:sz w:val="17"/>
              </w:rPr>
              <w:t>• Define emoción y explica su función.</w:t>
            </w:r>
          </w:p>
          <w:p>
            <w:r>
              <w:rPr>
                <w:rFonts w:ascii="Arial" w:hAnsi="Arial"/>
                <w:b w:val="0"/>
                <w:sz w:val="17"/>
              </w:rPr>
              <w:t>• Clasifica emociones básicas en situaciones cotidianas propias.</w:t>
            </w:r>
          </w:p>
          <w:p>
            <w:r>
              <w:rPr>
                <w:rFonts w:ascii="Arial" w:hAnsi="Arial"/>
                <w:b w:val="0"/>
                <w:sz w:val="17"/>
              </w:rPr>
              <w:t>• Argumenta por qué ninguna emoción es «mala» aunque algunas sean desagradables.</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Exploración de la rueda de emociones con ejemplos propios y construcción grupal del diccionario emocional del curso.</w:t>
            </w:r>
          </w:p>
        </w:tc>
        <w:tc>
          <w:tcPr>
            <w:tcW w:type="dxa" w:w="2494"/>
          </w:tcPr>
          <w:p>
            <w:r>
              <w:rPr>
                <w:rFonts w:ascii="Arial" w:hAnsi="Arial"/>
                <w:b w:val="0"/>
                <w:sz w:val="17"/>
              </w:rPr>
              <w:t>Diccionario emocional grupal (cantidad y clasificación de términos) y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11</w:t>
            </w:r>
          </w:p>
        </w:tc>
        <w:tc>
          <w:tcPr>
            <w:tcW w:type="dxa" w:w="2948"/>
          </w:tcPr>
          <w:p>
            <w:r>
              <w:rPr>
                <w:rFonts w:ascii="Arial" w:hAnsi="Arial"/>
                <w:b w:val="0"/>
                <w:sz w:val="17"/>
              </w:rPr>
              <w:t>Clase 9: Autocontrol: sentir fuerte sin actuar mal — El autocontrol: concepto, importancia y estrategias para regular las emociones intensas.</w:t>
            </w:r>
          </w:p>
        </w:tc>
        <w:tc>
          <w:tcPr>
            <w:tcW w:type="dxa" w:w="4082"/>
          </w:tcPr>
          <w:p>
            <w:r>
              <w:rPr>
                <w:rFonts w:ascii="Arial" w:hAnsi="Arial"/>
                <w:b w:val="0"/>
                <w:sz w:val="17"/>
              </w:rPr>
              <w:t>• Explica qué es el autocontrol y por qué importa en la convivencia.</w:t>
            </w:r>
          </w:p>
          <w:p>
            <w:r>
              <w:rPr>
                <w:rFonts w:ascii="Arial" w:hAnsi="Arial"/>
                <w:b w:val="0"/>
                <w:sz w:val="17"/>
              </w:rPr>
              <w:t>• Aplica la secuencia pará–pensá–actuá a situaciones de emoción intensa.</w:t>
            </w:r>
          </w:p>
          <w:p>
            <w:r>
              <w:rPr>
                <w:rFonts w:ascii="Arial" w:hAnsi="Arial"/>
                <w:b w:val="0"/>
                <w:sz w:val="17"/>
              </w:rPr>
              <w:t>• Reconoce señales corporales tempranas de sus propias emociones intensas.</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Identificación de señales corporales propias y ensayo grupal de la secuencia pará–pensá–actuá sobre situaciones típicas.</w:t>
            </w:r>
          </w:p>
        </w:tc>
        <w:tc>
          <w:tcPr>
            <w:tcW w:type="dxa" w:w="2494"/>
          </w:tcPr>
          <w:p>
            <w:r>
              <w:rPr>
                <w:rFonts w:ascii="Arial" w:hAnsi="Arial"/>
                <w:b w:val="0"/>
                <w:sz w:val="17"/>
              </w:rPr>
              <w:t>Producción grupal del ensayo del semáforo (secuencia completa y respuesta asertiva) y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12</w:t>
            </w:r>
          </w:p>
        </w:tc>
        <w:tc>
          <w:tcPr>
            <w:tcW w:type="dxa" w:w="2948"/>
          </w:tcPr>
          <w:p>
            <w:r>
              <w:rPr>
                <w:rFonts w:ascii="Arial" w:hAnsi="Arial"/>
                <w:b w:val="0"/>
                <w:sz w:val="17"/>
              </w:rPr>
              <w:t>Clase 10: La sexualidad como un todo y desde un enfoque de derechos — Dimensiones interrelacionadas, dignidad, derechos e influencia de la formación familiar y cultural.</w:t>
            </w:r>
          </w:p>
        </w:tc>
        <w:tc>
          <w:tcPr>
            <w:tcW w:type="dxa" w:w="4082"/>
          </w:tcPr>
          <w:p>
            <w:r>
              <w:rPr>
                <w:rFonts w:ascii="Arial" w:hAnsi="Arial"/>
                <w:b w:val="0"/>
                <w:sz w:val="17"/>
              </w:rPr>
              <w:t>• Explica la sexualidad como una dimensión integral de la persona y relaciona su vivencia con dignidad, respeto y derechos.</w:t>
            </w:r>
          </w:p>
          <w:p>
            <w:r>
              <w:rPr>
                <w:rFonts w:ascii="Arial" w:hAnsi="Arial"/>
                <w:b w:val="0"/>
                <w:sz w:val="17"/>
              </w:rPr>
              <w:t>• Reconoce la influencia de la formación familiar y cultural en la vivencia de la sexualidad.</w:t>
            </w:r>
          </w:p>
          <w:p>
            <w:r>
              <w:rPr>
                <w:rFonts w:ascii="Arial" w:hAnsi="Arial"/>
                <w:b w:val="0"/>
                <w:sz w:val="17"/>
              </w:rPr>
              <w:t>• Identifica actitudes de respeto hacia sí mismo y hacia los demás en este ámbito.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Análisis de dimensiones interrelacionadas de la sexualidad desde un enfoque de derechos y clasificación grupal de mitos frente a información seria con tarjetas.</w:t>
            </w:r>
          </w:p>
        </w:tc>
        <w:tc>
          <w:tcPr>
            <w:tcW w:type="dxa" w:w="2494"/>
          </w:tcPr>
          <w:p>
            <w:r>
              <w:rPr>
                <w:rFonts w:ascii="Arial" w:hAnsi="Arial"/>
                <w:b w:val="0"/>
                <w:sz w:val="17"/>
              </w:rPr>
              <w:t>Clasificación fundamentada de tarjetas (mito/información) y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13</w:t>
            </w:r>
          </w:p>
        </w:tc>
        <w:tc>
          <w:tcPr>
            <w:tcW w:type="dxa" w:w="2948"/>
          </w:tcPr>
          <w:p>
            <w:r>
              <w:rPr>
                <w:rFonts w:ascii="Arial" w:hAnsi="Arial"/>
                <w:b w:val="0"/>
                <w:sz w:val="17"/>
              </w:rPr>
              <w:t>Clase 11: Respeto y tolerancia a la diversidad — Diversidad sexual, cultural, religiosa, racial y otras diferencias en la convivencia diaria.</w:t>
            </w:r>
          </w:p>
        </w:tc>
        <w:tc>
          <w:tcPr>
            <w:tcW w:type="dxa" w:w="4082"/>
          </w:tcPr>
          <w:p>
            <w:r>
              <w:rPr>
                <w:rFonts w:ascii="Arial" w:hAnsi="Arial"/>
                <w:b w:val="0"/>
                <w:sz w:val="17"/>
              </w:rPr>
              <w:t>• Identifica formas de diversidad presentes en su comunidad.</w:t>
            </w:r>
          </w:p>
          <w:p>
            <w:r>
              <w:rPr>
                <w:rFonts w:ascii="Arial" w:hAnsi="Arial"/>
                <w:b w:val="0"/>
                <w:sz w:val="17"/>
              </w:rPr>
              <w:t>• Diferencia tolerar de respetar y aplica la diferencia a casos concretos.</w:t>
            </w:r>
          </w:p>
          <w:p>
            <w:r>
              <w:rPr>
                <w:rFonts w:ascii="Arial" w:hAnsi="Arial"/>
                <w:b w:val="0"/>
                <w:sz w:val="17"/>
              </w:rPr>
              <w:t>• Propone actitudes de convivencia respetuosa ante la diversidad en su aula.</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Análisis de casos de discriminación, tolerancia y respeto, y entrevista en parejas sorteadas para desarmar suposiciones.</w:t>
            </w:r>
          </w:p>
        </w:tc>
        <w:tc>
          <w:tcPr>
            <w:tcW w:type="dxa" w:w="2494"/>
          </w:tcPr>
          <w:p>
            <w:r>
              <w:rPr>
                <w:rFonts w:ascii="Arial" w:hAnsi="Arial"/>
                <w:b w:val="0"/>
                <w:sz w:val="17"/>
              </w:rPr>
              <w:t>Presentación de la entrevista (respeto y escucha) y resolución del cuadro discriminar–tolerar–respetar.</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14</w:t>
            </w:r>
          </w:p>
        </w:tc>
        <w:tc>
          <w:tcPr>
            <w:tcW w:type="dxa" w:w="2948"/>
          </w:tcPr>
          <w:p>
            <w:r>
              <w:rPr>
                <w:rFonts w:ascii="Arial" w:hAnsi="Arial"/>
                <w:b w:val="0"/>
                <w:sz w:val="17"/>
              </w:rPr>
              <w:t>Evaluación de la Unidad 3 — Vida afectiva</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Resolución individual de la evaluación de la Unidad 3 y autoidentificación de necesidades de refuerzo.</w:t>
            </w:r>
          </w:p>
        </w:tc>
        <w:tc>
          <w:tcPr>
            <w:tcW w:type="dxa" w:w="2494"/>
          </w:tcPr>
          <w:p>
            <w:r>
              <w:rPr>
                <w:rFonts w:ascii="Arial" w:hAnsi="Arial"/>
                <w:b w:val="0"/>
                <w:sz w:val="17"/>
              </w:rPr>
              <w:t>Prueba fotocopiable de la Unidad 3; registro docente de indicadores logrados y no logrados.</w:t>
            </w:r>
          </w:p>
        </w:tc>
        <w:tc>
          <w:tcPr>
            <w:tcW w:type="dxa" w:w="1701"/>
          </w:tcPr>
          <w:p>
            <w:r>
              <w:rPr>
                <w:rFonts w:ascii="Arial" w:hAnsi="Arial"/>
                <w:b w:val="0"/>
                <w:sz w:val="17"/>
              </w:rPr>
              <w:t>Cierre de la Unidad 3.</w:t>
            </w:r>
          </w:p>
        </w:tc>
      </w:tr>
      <w:tr>
        <w:trPr>
          <w:cantSplit/>
        </w:trPr>
        <w:tc>
          <w:tcPr>
            <w:tcW w:type="dxa" w:w="15988"/>
            <w:gridSpan w:val="7"/>
            <w:shd w:val="clear" w:fill="8E5AA0"/>
          </w:tcPr>
          <w:p>
            <w:r>
              <w:rPr>
                <w:rFonts w:ascii="Arial" w:hAnsi="Arial"/>
                <w:b/>
                <w:color w:val="FFFFFF"/>
                <w:sz w:val="18"/>
              </w:rPr>
              <w:t>UNIDAD 4 — DERECHOS Y RESPONSABILIDADES</w:t>
            </w:r>
          </w:p>
          <w:p>
            <w:r>
              <w:rPr>
                <w:rFonts w:ascii="Arial" w:hAnsi="Arial"/>
                <w:b/>
                <w:color w:val="FFFFFF"/>
                <w:sz w:val="18"/>
              </w:rPr>
              <w:t xml:space="preserve">Capacidades (programa MEC): «Emprende acciones que promuevan el cumplimiento de los artículos de los DD. HH referentes a la no discriminación.»</w:t>
            </w:r>
          </w:p>
          <w:p>
            <w:r>
              <w:rPr>
                <w:rFonts w:ascii="Arial" w:hAnsi="Arial"/>
                <w:b/>
                <w:color w:val="FFFFFF"/>
                <w:sz w:val="18"/>
              </w:rPr>
              <w:t>Período aproximado: Junio</w:t>
            </w:r>
          </w:p>
        </w:tc>
      </w:tr>
      <w:tr>
        <w:trPr>
          <w:cantSplit/>
        </w:trPr>
        <w:tc>
          <w:tcPr>
            <w:tcW w:type="dxa" w:w="624"/>
          </w:tcPr>
          <w:p>
            <w:pPr>
              <w:jc w:val="center"/>
            </w:pPr>
            <w:r>
              <w:rPr>
                <w:rFonts w:ascii="Arial" w:hAnsi="Arial"/>
                <w:b/>
                <w:sz w:val="17"/>
              </w:rPr>
              <w:t>15</w:t>
            </w:r>
          </w:p>
        </w:tc>
        <w:tc>
          <w:tcPr>
            <w:tcW w:type="dxa" w:w="2948"/>
          </w:tcPr>
          <w:p>
            <w:r>
              <w:rPr>
                <w:rFonts w:ascii="Arial" w:hAnsi="Arial"/>
                <w:b w:val="0"/>
                <w:sz w:val="17"/>
              </w:rPr>
              <w:t>Clase 12: Los Derechos Humanos y la no discriminación — Los artículos referentes a la no discriminación en los Derechos Humanos y en el marco normativo paraguayo.</w:t>
            </w:r>
          </w:p>
        </w:tc>
        <w:tc>
          <w:tcPr>
            <w:tcW w:type="dxa" w:w="4082"/>
          </w:tcPr>
          <w:p>
            <w:r>
              <w:rPr>
                <w:rFonts w:ascii="Arial" w:hAnsi="Arial"/>
                <w:b w:val="0"/>
                <w:sz w:val="17"/>
              </w:rPr>
              <w:t>• Identifica artículos clave sobre igualdad y no discriminación en la DUDH y en la Constitución Nacional.</w:t>
            </w:r>
          </w:p>
          <w:p>
            <w:r>
              <w:rPr>
                <w:rFonts w:ascii="Arial" w:hAnsi="Arial"/>
                <w:b w:val="0"/>
                <w:sz w:val="17"/>
              </w:rPr>
              <w:t>• Analiza críticamente situaciones de discriminación a la luz de esos artículos.</w:t>
            </w:r>
          </w:p>
          <w:p>
            <w:r>
              <w:rPr>
                <w:rFonts w:ascii="Arial" w:hAnsi="Arial"/>
                <w:b w:val="0"/>
                <w:sz w:val="17"/>
              </w:rPr>
              <w:t>• Ubica en una línea de tiempo los principales hitos normativos de la no discriminación.</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Lectura crítica de artículos sobre no discriminación y juego de rol «tribunal de artículos» sobre casos ficticios.</w:t>
            </w:r>
          </w:p>
        </w:tc>
        <w:tc>
          <w:tcPr>
            <w:tcW w:type="dxa" w:w="2494"/>
          </w:tcPr>
          <w:p>
            <w:r>
              <w:rPr>
                <w:rFonts w:ascii="Arial" w:hAnsi="Arial"/>
                <w:b w:val="0"/>
                <w:sz w:val="17"/>
              </w:rPr>
              <w:t>Fallo fundamentado del tribunal grupal (artículo correcto y reparación pertinente) y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16</w:t>
            </w:r>
          </w:p>
        </w:tc>
        <w:tc>
          <w:tcPr>
            <w:tcW w:type="dxa" w:w="2948"/>
          </w:tcPr>
          <w:p>
            <w:r>
              <w:rPr>
                <w:rFonts w:ascii="Arial" w:hAnsi="Arial"/>
                <w:b w:val="0"/>
                <w:sz w:val="17"/>
              </w:rPr>
              <w:t>Clase 13: Del papel a la acción: promover el respeto y la tolerancia — Diseño y ejecución de acciones concretas de promoción de la no discriminación, el respeto y la tolerancia en la comunidad educativa.</w:t>
            </w:r>
          </w:p>
        </w:tc>
        <w:tc>
          <w:tcPr>
            <w:tcW w:type="dxa" w:w="4082"/>
          </w:tcPr>
          <w:p>
            <w:r>
              <w:rPr>
                <w:rFonts w:ascii="Arial" w:hAnsi="Arial"/>
                <w:b w:val="0"/>
                <w:sz w:val="17"/>
              </w:rPr>
              <w:t>• Diseña una acción concreta de promoción de la no discriminación con objetivo, actividades y responsables.</w:t>
            </w:r>
          </w:p>
          <w:p>
            <w:r>
              <w:rPr>
                <w:rFonts w:ascii="Arial" w:hAnsi="Arial"/>
                <w:b w:val="0"/>
                <w:sz w:val="17"/>
              </w:rPr>
              <w:t>• Ejecuta su parte en la acción grupal asumiendo el rol asignado.</w:t>
            </w:r>
          </w:p>
          <w:p>
            <w:r>
              <w:rPr>
                <w:rFonts w:ascii="Arial" w:hAnsi="Arial"/>
                <w:b w:val="0"/>
                <w:sz w:val="17"/>
              </w:rPr>
              <w:t>• Evalúa el resultado de la acción con criterios acordados previamente.</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Diseño, ejecución y evaluación de una acción real de promoción de la no discriminación con el esquema de seis componentes.</w:t>
            </w:r>
          </w:p>
        </w:tc>
        <w:tc>
          <w:tcPr>
            <w:tcW w:type="dxa" w:w="2494"/>
          </w:tcPr>
          <w:p>
            <w:r>
              <w:rPr>
                <w:rFonts w:ascii="Arial" w:hAnsi="Arial"/>
                <w:b w:val="0"/>
                <w:sz w:val="17"/>
              </w:rPr>
              <w:t>Rúbrica de la acción grupal (diseño, ejecución, equipo y evaluación) presentada previamente al curso.</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17</w:t>
            </w:r>
          </w:p>
        </w:tc>
        <w:tc>
          <w:tcPr>
            <w:tcW w:type="dxa" w:w="2948"/>
          </w:tcPr>
          <w:p>
            <w:r>
              <w:rPr>
                <w:rFonts w:ascii="Arial" w:hAnsi="Arial"/>
                <w:b w:val="0"/>
                <w:sz w:val="17"/>
              </w:rPr>
              <w:t>Evaluación de la Unidad 4 — Derechos y responsabilidades</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Resolución individual de la evaluación de la Unidad 4 y autoidentificación de necesidades de refuerzo.</w:t>
            </w:r>
          </w:p>
        </w:tc>
        <w:tc>
          <w:tcPr>
            <w:tcW w:type="dxa" w:w="2494"/>
          </w:tcPr>
          <w:p>
            <w:r>
              <w:rPr>
                <w:rFonts w:ascii="Arial" w:hAnsi="Arial"/>
                <w:b w:val="0"/>
                <w:sz w:val="17"/>
              </w:rPr>
              <w:t>Prueba fotocopiable de la Unidad 4; registro docente de indicadores logrados y no logrados.</w:t>
            </w:r>
          </w:p>
        </w:tc>
        <w:tc>
          <w:tcPr>
            <w:tcW w:type="dxa" w:w="1701"/>
          </w:tcPr>
          <w:p>
            <w:r>
              <w:rPr>
                <w:rFonts w:ascii="Arial" w:hAnsi="Arial"/>
                <w:b w:val="0"/>
                <w:sz w:val="17"/>
              </w:rPr>
              <w:t>Cierre de la Unidad 4.</w:t>
            </w:r>
          </w:p>
        </w:tc>
      </w:tr>
      <w:tr>
        <w:trPr>
          <w:cantSplit/>
        </w:trPr>
        <w:tc>
          <w:tcPr>
            <w:tcW w:type="dxa" w:w="624"/>
            <w:shd w:val="clear" w:fill="EAF1F6"/>
          </w:tcPr>
          <w:p>
            <w:pPr>
              <w:jc w:val="center"/>
            </w:pPr>
            <w:r>
              <w:rPr>
                <w:rFonts w:ascii="Arial" w:hAnsi="Arial"/>
                <w:b/>
                <w:sz w:val="17"/>
              </w:rPr>
              <w:t>18</w:t>
            </w:r>
          </w:p>
        </w:tc>
        <w:tc>
          <w:tcPr>
            <w:tcW w:type="dxa" w:w="2948"/>
            <w:shd w:val="clear" w:fill="EAF1F6"/>
          </w:tcPr>
          <w:p>
            <w:r>
              <w:rPr>
                <w:rFonts w:ascii="Arial" w:hAnsi="Arial"/>
                <w:b/>
                <w:sz w:val="17"/>
              </w:rPr>
              <w:t>EVALUACIÓN INTEGRADORA DE LA 1.ª ETAPA — Unidades 1 a 4 (cierre: junio)</w:t>
            </w:r>
          </w:p>
        </w:tc>
        <w:tc>
          <w:tcPr>
            <w:tcW w:type="dxa" w:w="4082"/>
            <w:shd w:val="clear" w:fill="EAF1F6"/>
          </w:tcPr>
          <w:p>
            <w:r>
              <w:rPr>
                <w:rFonts w:ascii="Arial" w:hAnsi="Arial"/>
                <w:b w:val="0"/>
                <w:sz w:val="17"/>
              </w:rPr>
              <w:t>Integra los indicadores de las unidades de la etapa.</w:t>
            </w:r>
          </w:p>
        </w:tc>
        <w:tc>
          <w:tcPr>
            <w:tcW w:type="dxa" w:w="964"/>
            <w:shd w:val="clear" w:fill="EAF1F6"/>
          </w:tcPr>
          <w:p>
            <w:pPr>
              <w:jc w:val="center"/>
            </w:pPr>
            <w:r>
              <w:rPr>
                <w:rFonts w:ascii="Arial" w:hAnsi="Arial"/>
                <w:b w:val="0"/>
                <w:sz w:val="17"/>
              </w:rPr>
              <w:t xml:space="preserve">3 HC</w:t>
            </w:r>
          </w:p>
        </w:tc>
        <w:tc>
          <w:tcPr>
            <w:tcW w:type="dxa" w:w="3175"/>
            <w:shd w:val="clear" w:fill="EAF1F6"/>
          </w:tcPr>
          <w:p>
            <w:r>
              <w:rPr>
                <w:rFonts w:ascii="Arial" w:hAnsi="Arial"/>
                <w:b w:val="0"/>
                <w:sz w:val="17"/>
              </w:rPr>
              <w:t>Resolución individual de la prueba integradora.</w:t>
            </w:r>
          </w:p>
        </w:tc>
        <w:tc>
          <w:tcPr>
            <w:tcW w:type="dxa" w:w="2494"/>
            <w:shd w:val="clear" w:fill="EAF1F6"/>
          </w:tcPr>
          <w:p>
            <w:r>
              <w:rPr>
                <w:rFonts w:ascii="Arial" w:hAnsi="Arial"/>
                <w:b w:val="0"/>
                <w:sz w:val="17"/>
              </w:rPr>
              <w:t>Prueba integradora fotocopiable: comprensión y resolución fundamentada de situaciones ficticias o anonimizadas; no exige revelar decisiones o datos personales.</w:t>
            </w:r>
          </w:p>
        </w:tc>
        <w:tc>
          <w:tcPr>
            <w:tcW w:type="dxa" w:w="1701"/>
            <w:shd w:val="clear" w:fill="EAF1F6"/>
          </w:tcPr>
          <w:p>
            <w:r>
              <w:rPr>
                <w:rFonts w:ascii="Arial" w:hAnsi="Arial"/>
                <w:b w:val="0"/>
                <w:sz w:val="17"/>
              </w:rPr>
              <w:t>Se aplica en página propia; cierre de la primera etapa.</w:t>
            </w:r>
          </w:p>
        </w:tc>
      </w:tr>
      <w:tr>
        <w:trPr>
          <w:cantSplit/>
        </w:trPr>
        <w:tc>
          <w:tcPr>
            <w:tcW w:type="dxa" w:w="15988"/>
            <w:gridSpan w:val="7"/>
            <w:shd w:val="clear" w:fill="1B4F72"/>
          </w:tcPr>
          <w:p>
            <w:r>
              <w:rPr>
                <w:rFonts w:ascii="Arial" w:hAnsi="Arial"/>
                <w:b/>
                <w:color w:val="FFFFFF"/>
                <w:sz w:val="18"/>
              </w:rPr>
              <w:t>SEGUNDA ETAPA · Julio – noviembre (cierre: noviembre)</w:t>
            </w:r>
          </w:p>
        </w:tc>
      </w:tr>
      <w:tr>
        <w:trPr>
          <w:cantSplit/>
        </w:trPr>
        <w:tc>
          <w:tcPr>
            <w:tcW w:type="dxa" w:w="15988"/>
            <w:gridSpan w:val="7"/>
            <w:shd w:val="clear" w:fill="8E5AA0"/>
          </w:tcPr>
          <w:p>
            <w:r>
              <w:rPr>
                <w:rFonts w:ascii="Arial" w:hAnsi="Arial"/>
                <w:b/>
                <w:color w:val="FFFFFF"/>
                <w:sz w:val="18"/>
              </w:rPr>
              <w:t>UNIDAD 5 — ORGANIZACIONES ESTUDIANTILES</w:t>
            </w:r>
          </w:p>
          <w:p>
            <w:r>
              <w:rPr>
                <w:rFonts w:ascii="Arial" w:hAnsi="Arial"/>
                <w:b/>
                <w:color w:val="FFFFFF"/>
                <w:sz w:val="18"/>
              </w:rPr>
              <w:t xml:space="preserve">Capacidades (programa MEC): «Analiza los procesos democráticos de elección de autoridades de la comunidad educativa en el estamento estudiantil.» «Participa activamente y con conocimientos adecuados en el proceso de conformación del Centro de Estudiantes.»</w:t>
            </w:r>
          </w:p>
          <w:p>
            <w:r>
              <w:rPr>
                <w:rFonts w:ascii="Arial" w:hAnsi="Arial"/>
                <w:b/>
                <w:color w:val="FFFFFF"/>
                <w:sz w:val="18"/>
              </w:rPr>
              <w:t>Período aproximado: Agosto – septiembre</w:t>
            </w:r>
          </w:p>
        </w:tc>
      </w:tr>
      <w:tr>
        <w:trPr>
          <w:cantSplit/>
        </w:trPr>
        <w:tc>
          <w:tcPr>
            <w:tcW w:type="dxa" w:w="624"/>
          </w:tcPr>
          <w:p>
            <w:pPr>
              <w:jc w:val="center"/>
            </w:pPr>
            <w:r>
              <w:rPr>
                <w:rFonts w:ascii="Arial" w:hAnsi="Arial"/>
                <w:b/>
                <w:sz w:val="17"/>
              </w:rPr>
              <w:t>19</w:t>
            </w:r>
          </w:p>
        </w:tc>
        <w:tc>
          <w:tcPr>
            <w:tcW w:type="dxa" w:w="2948"/>
          </w:tcPr>
          <w:p>
            <w:r>
              <w:rPr>
                <w:rFonts w:ascii="Arial" w:hAnsi="Arial"/>
                <w:b w:val="0"/>
                <w:sz w:val="17"/>
              </w:rPr>
              <w:t>Clase 14: El Centro de Estudiantes: qué es y cómo se organiza — El Centro de Estudiantes: conformación, comisión directiva y funciones dentro de la comunidad educativa.</w:t>
            </w:r>
          </w:p>
        </w:tc>
        <w:tc>
          <w:tcPr>
            <w:tcW w:type="dxa" w:w="4082"/>
          </w:tcPr>
          <w:p>
            <w:r>
              <w:rPr>
                <w:rFonts w:ascii="Arial" w:hAnsi="Arial"/>
                <w:b w:val="0"/>
                <w:sz w:val="17"/>
              </w:rPr>
              <w:t>• Explica qué es un Centro de Estudiantes y a quiénes representa.</w:t>
            </w:r>
          </w:p>
          <w:p>
            <w:r>
              <w:rPr>
                <w:rFonts w:ascii="Arial" w:hAnsi="Arial"/>
                <w:b w:val="0"/>
                <w:sz w:val="17"/>
              </w:rPr>
              <w:t>• Describe órganos y cargos posibles del Centro y explica que su composición y atribuciones se definen en el estatuto.</w:t>
            </w:r>
          </w:p>
          <w:p>
            <w:r>
              <w:rPr>
                <w:rFonts w:ascii="Arial" w:hAnsi="Arial"/>
                <w:b w:val="0"/>
                <w:sz w:val="17"/>
              </w:rPr>
              <w:t>• Identifica funciones propias del Centro de Estudiantes en su institución.</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Análisis del organigrama del Centro de Estudiantes e investigación grupal «radiografía» de la organización estudiantil de la institución.</w:t>
            </w:r>
          </w:p>
        </w:tc>
        <w:tc>
          <w:tcPr>
            <w:tcW w:type="dxa" w:w="2494"/>
          </w:tcPr>
          <w:p>
            <w:r>
              <w:rPr>
                <w:rFonts w:ascii="Arial" w:hAnsi="Arial"/>
                <w:b w:val="0"/>
                <w:sz w:val="17"/>
              </w:rPr>
              <w:t>Presentación de la radiografía grupal (conformación, acciones, rendición de cuentas) y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20</w:t>
            </w:r>
          </w:p>
        </w:tc>
        <w:tc>
          <w:tcPr>
            <w:tcW w:type="dxa" w:w="2948"/>
            <w:vAlign w:val="center"/>
          </w:tcPr>
          <w:p>
            <w:pPr>
              <w:spacing w:after="0" w:before="0"/>
            </w:pPr>
            <w:r>
              <w:rPr>
                <w:rFonts w:ascii="Calibri" w:hAnsi="Calibri"/>
                <w:sz w:val="17"/>
              </w:rPr>
              <w:t xml:space="preserve">Taller PEC A — Mirar antes de actuar. Diagnóstico participativo de necesidades. Capacidades del área vinculadas (programa MEC): «Establece relaciones armónicas en su comunicación interpersonal con los miembros de la comunidad educativa.» «Diagnostica situaciones de riesgo en su ámbito familiar, escolar y en su comunidad.» Indicadores: elaboración editorial.</w:t>
            </w:r>
          </w:p>
        </w:tc>
        <w:tc>
          <w:tcPr>
            <w:tcW w:type="dxa" w:w="4082"/>
            <w:vAlign w:val="center"/>
          </w:tcPr>
          <w:p>
            <w:pPr>
              <w:spacing w:after="0" w:before="0"/>
            </w:pPr>
            <w:r>
              <w:rPr>
                <w:rFonts w:ascii="Calibri" w:hAnsi="Calibri"/>
                <w:sz w:val="16"/>
              </w:rPr>
              <w:t xml:space="preserve">• Distingue hechos comprobables de opiniones al describir una necesidad del colegio o de su entorno cercano.</w:t>
              <w:br/>
            </w:r>
          </w:p>
          <w:p>
            <w:pPr>
              <w:spacing w:after="0" w:before="0"/>
            </w:pPr>
            <w:r>
              <w:rPr>
                <w:rFonts w:ascii="Calibri" w:hAnsi="Calibri"/>
                <w:sz w:val="16"/>
              </w:rPr>
              <w:t xml:space="preserve">• Registra al menos tres evidencias con su fuente y su límite, sin nombres ni fotografías de personas.</w:t>
              <w:br/>
            </w:r>
          </w:p>
          <w:p>
            <w:pPr>
              <w:spacing w:after="0" w:before="0"/>
            </w:pPr>
            <w:r>
              <w:rPr>
                <w:rFonts w:ascii="Calibri" w:hAnsi="Calibri"/>
                <w:sz w:val="16"/>
              </w:rPr>
              <w:t xml:space="preserve">• Identifica a qué instancia de la institución corresponde autorizar cada paso del diagnóstico.</w:t>
              <w:br/>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A del tomo. Elaboración guiada de Ficha 1.</w:t>
            </w:r>
          </w:p>
        </w:tc>
        <w:tc>
          <w:tcPr>
            <w:tcW w:type="dxa" w:w="2494"/>
            <w:vAlign w:val="center"/>
          </w:tcPr>
          <w:p>
            <w:pPr>
              <w:spacing w:after="0" w:before="0"/>
            </w:pPr>
            <w:r>
              <w:rPr>
                <w:rFonts w:ascii="Calibri" w:hAnsi="Calibri"/>
                <w:sz w:val="16"/>
              </w:rPr>
              <w:t>Ficha PEC 1: diagnóstico, fuentes autorizadas y evidencias sin identificación de menores.</w:t>
            </w:r>
          </w:p>
        </w:tc>
        <w:tc>
          <w:tcPr>
            <w:tcW w:type="dxa" w:w="1701"/>
            <w:vAlign w:val="center"/>
          </w:tcPr>
          <w:p>
            <w:r>
              <w:t xml:space="preserve">Taller PEC dentro de los 36 encuentros; sin horas adicionales.Ficha de profundización de la unidad: opcional, fuera de los 36 encuentros.</w:t>
              <w:br/>
            </w:r>
          </w:p>
        </w:tc>
      </w:tr>
      <w:tr>
        <w:trPr>
          <w:cantSplit/>
        </w:trPr>
        <w:tc>
          <w:tcPr>
            <w:tcW w:type="dxa" w:w="624"/>
          </w:tcPr>
          <w:p>
            <w:pPr>
              <w:jc w:val="center"/>
            </w:pPr>
            <w:r>
              <w:rPr>
                <w:rFonts w:ascii="Arial" w:hAnsi="Arial"/>
                <w:b/>
                <w:sz w:val="17"/>
              </w:rPr>
              <w:t>21</w:t>
            </w:r>
          </w:p>
        </w:tc>
        <w:tc>
          <w:tcPr>
            <w:tcW w:type="dxa" w:w="2948"/>
          </w:tcPr>
          <w:p>
            <w:r>
              <w:rPr>
                <w:rFonts w:ascii="Arial" w:hAnsi="Arial"/>
                <w:b w:val="0"/>
                <w:sz w:val="17"/>
              </w:rPr>
              <w:t>Clase 15: Marco legal y elecciones: la democracia estudiantil en serio — El marco legal de las organizaciones estudiantiles en Paraguay y el proceso de elección de autoridades.</w:t>
            </w:r>
          </w:p>
        </w:tc>
        <w:tc>
          <w:tcPr>
            <w:tcW w:type="dxa" w:w="4082"/>
          </w:tcPr>
          <w:p>
            <w:r>
              <w:rPr>
                <w:rFonts w:ascii="Arial" w:hAnsi="Arial"/>
                <w:b w:val="0"/>
                <w:sz w:val="17"/>
              </w:rPr>
              <w:t>• Identifica las normas que respaldan la organización estudiantil en Paraguay.</w:t>
            </w:r>
          </w:p>
          <w:p>
            <w:r>
              <w:rPr>
                <w:rFonts w:ascii="Arial" w:hAnsi="Arial"/>
                <w:b w:val="0"/>
                <w:sz w:val="17"/>
              </w:rPr>
              <w:t>• Describe en orden los pasos del proceso electoral estudiantil.</w:t>
            </w:r>
          </w:p>
          <w:p>
            <w:r>
              <w:rPr>
                <w:rFonts w:ascii="Arial" w:hAnsi="Arial"/>
                <w:b w:val="0"/>
                <w:sz w:val="17"/>
              </w:rPr>
              <w:t>• Explica las condiciones normativas de una elección estudiantil: voto libre, igual, directo y secreto, con escrutinio público.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Estudio de la Resolución MEC N.º 1/2016 y simulacro basado en un estatuto modelo que define la autoridad electoral, con listas, debate, voto libre, igual, directo y secreto y escrutinio público.</w:t>
            </w:r>
          </w:p>
        </w:tc>
        <w:tc>
          <w:tcPr>
            <w:tcW w:type="dxa" w:w="2494"/>
          </w:tcPr>
          <w:p>
            <w:r>
              <w:rPr>
                <w:rFonts w:ascii="Arial" w:hAnsi="Arial"/>
                <w:b w:val="0"/>
                <w:sz w:val="17"/>
              </w:rPr>
              <w:t>Evaluación del simulacro con lista de cotejo de condiciones democráticas (voto libre, igual, directo y secreto; escrutinio público) y correspondencia con el estatuto modelo.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22</w:t>
            </w:r>
          </w:p>
        </w:tc>
        <w:tc>
          <w:tcPr>
            <w:tcW w:type="dxa" w:w="2948"/>
            <w:vAlign w:val="center"/>
          </w:tcPr>
          <w:p>
            <w:pPr>
              <w:spacing w:after="0" w:before="0"/>
            </w:pPr>
            <w:r>
              <w:rPr>
                <w:rFonts w:ascii="Calibri" w:hAnsi="Calibri"/>
                <w:sz w:val="17"/>
              </w:rPr>
              <w:t xml:space="preserve">Taller PEC B — Elegir con razones. Priorización y fundamentación del problema. Capacidades del área vinculadas (programa MEC): «Analiza los procesos democráticos de elección de autoridades de la comunidad educativa en el estamento estudiantil.» «Establece relaciones armónicas en su comunicación interpersonal con los miembros de la comunidad educativa.» Indicadores: elaboración editorial.</w:t>
            </w:r>
          </w:p>
        </w:tc>
        <w:tc>
          <w:tcPr>
            <w:tcW w:type="dxa" w:w="4082"/>
            <w:vAlign w:val="center"/>
          </w:tcPr>
          <w:p>
            <w:pPr>
              <w:spacing w:after="0" w:before="0"/>
            </w:pPr>
            <w:r>
              <w:rPr>
                <w:rFonts w:ascii="Calibri" w:hAnsi="Calibri"/>
                <w:sz w:val="16"/>
              </w:rPr>
              <w:t xml:space="preserve">• Puntúa al menos tres alternativas con criterios explícitos de importancia, viabilidad y seguridad, y comprueba las sumas.</w:t>
              <w:br/>
            </w:r>
          </w:p>
          <w:p>
            <w:pPr>
              <w:spacing w:after="0" w:before="0"/>
            </w:pPr>
            <w:r>
              <w:rPr>
                <w:rFonts w:ascii="Calibri" w:hAnsi="Calibri"/>
                <w:sz w:val="16"/>
              </w:rPr>
              <w:t xml:space="preserve">• Fundamenta la prioridad elegida con datos del diagnóstico y prevé una alternativa de reserva.</w:t>
              <w:br/>
            </w:r>
          </w:p>
          <w:p>
            <w:pPr>
              <w:spacing w:after="0" w:before="0"/>
            </w:pPr>
            <w:r>
              <w:rPr>
                <w:rFonts w:ascii="Calibri" w:hAnsi="Calibri"/>
                <w:sz w:val="16"/>
              </w:rPr>
              <w:t xml:space="preserve">• Participa en la deliberación con escucha activa y respeto por las propuestas de los demás.</w:t>
              <w:br/>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B del tomo. Elaboración guiada de Ficha 2.</w:t>
            </w:r>
          </w:p>
        </w:tc>
        <w:tc>
          <w:tcPr>
            <w:tcW w:type="dxa" w:w="2494"/>
            <w:vAlign w:val="center"/>
          </w:tcPr>
          <w:p>
            <w:pPr>
              <w:spacing w:after="0" w:before="0"/>
            </w:pPr>
            <w:r>
              <w:rPr>
                <w:rFonts w:ascii="Calibri" w:hAnsi="Calibri"/>
                <w:sz w:val="16"/>
              </w:rPr>
              <w:t>Ficha PEC 2: matriz de prioridades y fundamentación de la decisión del equipo.</w:t>
            </w:r>
          </w:p>
        </w:tc>
        <w:tc>
          <w:tcPr>
            <w:tcW w:type="dxa" w:w="1701"/>
            <w:vAlign w:val="center"/>
          </w:tcPr>
          <w:p>
            <w:r>
              <w:t xml:space="preserve">Taller PEC dentro de los 36 encuentros; sin horas adicionales.Ficha de profundización de la unidad: opcional, fuera de los 36 encuentros.</w:t>
              <w:br/>
            </w:r>
          </w:p>
        </w:tc>
      </w:tr>
      <w:tr>
        <w:trPr>
          <w:cantSplit/>
        </w:trPr>
        <w:tc>
          <w:tcPr>
            <w:tcW w:type="dxa" w:w="624"/>
          </w:tcPr>
          <w:p>
            <w:pPr>
              <w:jc w:val="center"/>
            </w:pPr>
            <w:r>
              <w:rPr>
                <w:rFonts w:ascii="Arial" w:hAnsi="Arial"/>
                <w:b/>
                <w:sz w:val="17"/>
              </w:rPr>
              <w:t>23</w:t>
            </w:r>
          </w:p>
        </w:tc>
        <w:tc>
          <w:tcPr>
            <w:tcW w:type="dxa" w:w="2948"/>
          </w:tcPr>
          <w:p>
            <w:r>
              <w:rPr>
                <w:rFonts w:ascii="Arial" w:hAnsi="Arial"/>
                <w:b w:val="0"/>
                <w:sz w:val="17"/>
              </w:rPr>
              <w:t>Clase 16: Tipos de líderes: elegir bien y liderar mejor — Tipos de líderes (positivo, democrático, negativo, autocrático, verticalista, demagogo) y el liderazgo como práctica que se aprende.</w:t>
            </w:r>
          </w:p>
        </w:tc>
        <w:tc>
          <w:tcPr>
            <w:tcW w:type="dxa" w:w="4082"/>
          </w:tcPr>
          <w:p>
            <w:r>
              <w:rPr>
                <w:rFonts w:ascii="Arial" w:hAnsi="Arial"/>
                <w:b w:val="0"/>
                <w:sz w:val="17"/>
              </w:rPr>
              <w:t>• Caracteriza los distintos tipos de líderes con ejemplos.</w:t>
            </w:r>
          </w:p>
          <w:p>
            <w:r>
              <w:rPr>
                <w:rFonts w:ascii="Arial" w:hAnsi="Arial"/>
                <w:b w:val="0"/>
                <w:sz w:val="17"/>
              </w:rPr>
              <w:t>• Analiza críticamente conductas de liderazgo en situaciones dadas.</w:t>
            </w:r>
          </w:p>
          <w:p>
            <w:r>
              <w:rPr>
                <w:rFonts w:ascii="Arial" w:hAnsi="Arial"/>
                <w:b w:val="0"/>
                <w:sz w:val="17"/>
              </w:rPr>
              <w:t>• Reconoce que el liderazgo positivo se aprende y se demuestra con hechos.</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Análisis comparativo de estilos de liderazgo y dramatización por sorteo del «casting de líderes» con identificación de conductas.</w:t>
            </w:r>
          </w:p>
        </w:tc>
        <w:tc>
          <w:tcPr>
            <w:tcW w:type="dxa" w:w="2494"/>
          </w:tcPr>
          <w:p>
            <w:r>
              <w:rPr>
                <w:rFonts w:ascii="Arial" w:hAnsi="Arial"/>
                <w:b w:val="0"/>
                <w:sz w:val="17"/>
              </w:rPr>
              <w:t>Identificación fundamentada de tipos de líderes en la dramatización y ejercitario individual.</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24</w:t>
            </w:r>
          </w:p>
        </w:tc>
        <w:tc>
          <w:tcPr>
            <w:tcW w:type="dxa" w:w="2948"/>
          </w:tcPr>
          <w:p>
            <w:r>
              <w:rPr>
                <w:rFonts w:ascii="Arial" w:hAnsi="Arial"/>
                <w:b w:val="0"/>
                <w:sz w:val="17"/>
              </w:rPr>
              <w:t>Evaluación de la Unidad 5 — Organizaciones estudiantiles</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Resolución individual de la evaluación de la Unidad 5 y autoidentificación de necesidades de refuerzo.</w:t>
            </w:r>
          </w:p>
        </w:tc>
        <w:tc>
          <w:tcPr>
            <w:tcW w:type="dxa" w:w="2494"/>
          </w:tcPr>
          <w:p>
            <w:r>
              <w:rPr>
                <w:rFonts w:ascii="Arial" w:hAnsi="Arial"/>
                <w:b w:val="0"/>
                <w:sz w:val="17"/>
              </w:rPr>
              <w:t>Prueba fotocopiable de la Unidad 5; registro docente de indicadores logrados y no logrados.</w:t>
            </w:r>
          </w:p>
        </w:tc>
        <w:tc>
          <w:tcPr>
            <w:tcW w:type="dxa" w:w="1701"/>
          </w:tcPr>
          <w:p>
            <w:r>
              <w:rPr>
                <w:rFonts w:ascii="Arial" w:hAnsi="Arial"/>
                <w:b w:val="0"/>
                <w:sz w:val="17"/>
              </w:rPr>
              <w:t>Cierre de la Unidad 5.</w:t>
            </w:r>
          </w:p>
        </w:tc>
      </w:tr>
      <w:tr>
        <w:trPr>
          <w:cantSplit/>
        </w:trPr>
        <w:tc>
          <w:tcPr>
            <w:tcW w:type="dxa" w:w="15988"/>
            <w:gridSpan w:val="7"/>
            <w:shd w:val="clear" w:fill="8E5AA0"/>
          </w:tcPr>
          <w:p>
            <w:r>
              <w:rPr>
                <w:rFonts w:ascii="Arial" w:hAnsi="Arial"/>
                <w:b/>
                <w:color w:val="FFFFFF"/>
                <w:sz w:val="18"/>
              </w:rPr>
              <w:t>UNIDAD 6 — ORGANIZACIÓN Y PLANIFICACIÓN</w:t>
            </w:r>
          </w:p>
          <w:p>
            <w:r>
              <w:rPr>
                <w:rFonts w:ascii="Arial" w:hAnsi="Arial"/>
                <w:b/>
                <w:color w:val="FFFFFF"/>
                <w:sz w:val="18"/>
              </w:rPr>
              <w:t xml:space="preserve">Capacidades (programa MEC): «Elabora su cronograma de actividades considerando como eje principal su proceso de aprendizaje.»</w:t>
            </w:r>
          </w:p>
          <w:p>
            <w:r>
              <w:rPr>
                <w:rFonts w:ascii="Arial" w:hAnsi="Arial"/>
                <w:b/>
                <w:color w:val="FFFFFF"/>
                <w:sz w:val="18"/>
              </w:rPr>
              <w:t>Período aproximado: Septiembre – octubre</w:t>
            </w:r>
          </w:p>
        </w:tc>
      </w:tr>
      <w:tr>
        <w:trPr>
          <w:cantSplit/>
        </w:trPr>
        <w:tc>
          <w:tcPr>
            <w:tcW w:type="dxa" w:w="624"/>
          </w:tcPr>
          <w:p>
            <w:pPr>
              <w:jc w:val="center"/>
            </w:pPr>
            <w:r>
              <w:rPr>
                <w:rFonts w:ascii="Arial" w:hAnsi="Arial"/>
                <w:b/>
                <w:sz w:val="17"/>
              </w:rPr>
              <w:t>25</w:t>
            </w:r>
          </w:p>
        </w:tc>
        <w:tc>
          <w:tcPr>
            <w:tcW w:type="dxa" w:w="2948"/>
          </w:tcPr>
          <w:p>
            <w:r>
              <w:rPr>
                <w:rFonts w:ascii="Arial" w:hAnsi="Arial"/>
                <w:b w:val="0"/>
                <w:sz w:val="17"/>
              </w:rPr>
              <w:t>Clase 17: Técnicas de estudio: procesar la información, no solo leerla — Técnicas de estudio y estrategias de procesamiento de la información: subrayado, resumen, esquema, mapa conceptual, lectura y análisis; la investigación escolar.</w:t>
            </w:r>
          </w:p>
        </w:tc>
        <w:tc>
          <w:tcPr>
            <w:tcW w:type="dxa" w:w="4082"/>
          </w:tcPr>
          <w:p>
            <w:r>
              <w:rPr>
                <w:rFonts w:ascii="Arial" w:hAnsi="Arial"/>
                <w:b w:val="0"/>
                <w:sz w:val="17"/>
              </w:rPr>
              <w:t>• Caracteriza las principales técnicas de estudio y su utilidad.</w:t>
            </w:r>
          </w:p>
          <w:p>
            <w:r>
              <w:rPr>
                <w:rFonts w:ascii="Arial" w:hAnsi="Arial"/>
                <w:b w:val="0"/>
                <w:sz w:val="17"/>
              </w:rPr>
              <w:t>• Aplica al menos dos estrategias de procesamiento a un texto dado.</w:t>
            </w:r>
          </w:p>
          <w:p>
            <w:r>
              <w:rPr>
                <w:rFonts w:ascii="Arial" w:hAnsi="Arial"/>
                <w:b w:val="0"/>
                <w:sz w:val="17"/>
              </w:rPr>
              <w:t>• Selecciona la técnica adecuada según el tipo de tarea o materia.</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Taller comparativo de técnicas de estudio aplicadas a un mismo texto y exposición de los productos de procesamiento.</w:t>
            </w:r>
          </w:p>
        </w:tc>
        <w:tc>
          <w:tcPr>
            <w:tcW w:type="dxa" w:w="2494"/>
          </w:tcPr>
          <w:p>
            <w:r>
              <w:rPr>
                <w:rFonts w:ascii="Arial" w:hAnsi="Arial"/>
                <w:b w:val="0"/>
                <w:sz w:val="17"/>
              </w:rPr>
              <w:t>Producto grupal de la técnica aplicada (fidelidad al texto y calidad del procesamiento) y ejercitario.</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26</w:t>
            </w:r>
          </w:p>
        </w:tc>
        <w:tc>
          <w:tcPr>
            <w:tcW w:type="dxa" w:w="2948"/>
            <w:vAlign w:val="center"/>
          </w:tcPr>
          <w:p>
            <w:pPr>
              <w:spacing w:after="0" w:before="0"/>
            </w:pPr>
            <w:r>
              <w:rPr>
                <w:rFonts w:ascii="Calibri" w:hAnsi="Calibri"/>
                <w:sz w:val="17"/>
              </w:rPr>
              <w:t xml:space="preserve">Taller PEC C — Pasar de la idea al plan. Objetivos, beneficiarios y productos. Capacidades del área vinculadas (programa MEC): «Emprende acciones que promuevan el cumplimiento de los artículos de los DD. HH referentes a la no discriminación.» «Considera la gestión de riesgo en la vida cotidiana.» Indicadores: elaboración editorial.</w:t>
            </w:r>
          </w:p>
        </w:tc>
        <w:tc>
          <w:tcPr>
            <w:tcW w:type="dxa" w:w="4082"/>
            <w:vAlign w:val="center"/>
          </w:tcPr>
          <w:p>
            <w:pPr>
              <w:spacing w:after="0" w:before="0"/>
            </w:pPr>
            <w:r>
              <w:rPr>
                <w:rFonts w:ascii="Calibri" w:hAnsi="Calibri"/>
                <w:sz w:val="16"/>
              </w:rPr>
              <w:t xml:space="preserve">• Redacta un objetivo general que expresa un cambio, distinto de una actividad o de un producto.</w:t>
              <w:br/>
            </w:r>
          </w:p>
          <w:p>
            <w:pPr>
              <w:spacing w:after="0" w:before="0"/>
            </w:pPr>
            <w:r>
              <w:rPr>
                <w:rFonts w:ascii="Calibri" w:hAnsi="Calibri"/>
                <w:sz w:val="16"/>
              </w:rPr>
              <w:t xml:space="preserve">• Formula dos objetivos específicos con verbos observables y su evidencia correspondiente.</w:t>
              <w:br/>
            </w:r>
          </w:p>
          <w:p>
            <w:pPr>
              <w:spacing w:after="0" w:before="0"/>
            </w:pPr>
            <w:r>
              <w:rPr>
                <w:rFonts w:ascii="Calibri" w:hAnsi="Calibri"/>
                <w:sz w:val="16"/>
              </w:rPr>
              <w:t xml:space="preserve">• Describe beneficiarios directos e indirectos por grupos, sin listas nominales, y prevé que la propuesta no excluya a nadie.</w:t>
              <w:br/>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C del tomo. Elaboración guiada de Ficha 3.</w:t>
            </w:r>
          </w:p>
        </w:tc>
        <w:tc>
          <w:tcPr>
            <w:tcW w:type="dxa" w:w="2494"/>
            <w:vAlign w:val="center"/>
          </w:tcPr>
          <w:p>
            <w:pPr>
              <w:spacing w:after="0" w:before="0"/>
            </w:pPr>
            <w:r>
              <w:rPr>
                <w:rFonts w:ascii="Calibri" w:hAnsi="Calibri"/>
                <w:sz w:val="16"/>
              </w:rPr>
              <w:t>Ficha PEC 3: objetivos, beneficiarios sin listados nominales y productos esperados.</w:t>
            </w:r>
          </w:p>
        </w:tc>
        <w:tc>
          <w:tcPr>
            <w:tcW w:type="dxa" w:w="1701"/>
            <w:vAlign w:val="center"/>
          </w:tcPr>
          <w:p>
            <w:r>
              <w:t xml:space="preserve">Taller PEC dentro de los 36 encuentros; sin horas adicionales.Ficha de profundización de la unidad: opcional, fuera de los 36 encuentros.</w:t>
              <w:br/>
            </w:r>
          </w:p>
        </w:tc>
      </w:tr>
      <w:tr>
        <w:trPr>
          <w:cantSplit/>
        </w:trPr>
        <w:tc>
          <w:tcPr>
            <w:tcW w:type="dxa" w:w="624"/>
          </w:tcPr>
          <w:p>
            <w:pPr>
              <w:jc w:val="center"/>
            </w:pPr>
            <w:r>
              <w:rPr>
                <w:rFonts w:ascii="Arial" w:hAnsi="Arial"/>
                <w:b/>
                <w:sz w:val="17"/>
              </w:rPr>
              <w:t>27</w:t>
            </w:r>
          </w:p>
        </w:tc>
        <w:tc>
          <w:tcPr>
            <w:tcW w:type="dxa" w:w="2948"/>
          </w:tcPr>
          <w:p>
            <w:r>
              <w:rPr>
                <w:rFonts w:ascii="Arial" w:hAnsi="Arial"/>
                <w:b w:val="0"/>
                <w:sz w:val="17"/>
              </w:rPr>
              <w:t>Clase 18: Tu cronograma de actividades: el tiempo como aliado — Elaboración del cronograma personal de actividades con el aprendizaje como eje: diagnóstico del uso del tiempo, prioridades y constancia.</w:t>
            </w:r>
          </w:p>
        </w:tc>
        <w:tc>
          <w:tcPr>
            <w:tcW w:type="dxa" w:w="4082"/>
          </w:tcPr>
          <w:p>
            <w:r>
              <w:rPr>
                <w:rFonts w:ascii="Arial" w:hAnsi="Arial"/>
                <w:b w:val="0"/>
                <w:sz w:val="17"/>
              </w:rPr>
              <w:t>• Diagnostica en qué usa realmente sus 24 horas diarias.</w:t>
            </w:r>
          </w:p>
          <w:p>
            <w:r>
              <w:rPr>
                <w:rFonts w:ascii="Arial" w:hAnsi="Arial"/>
                <w:b w:val="0"/>
                <w:sz w:val="17"/>
              </w:rPr>
              <w:t>• Elabora su cronograma semanal con el estudio como eje y espacios de descanso.</w:t>
            </w:r>
          </w:p>
          <w:p>
            <w:r>
              <w:rPr>
                <w:rFonts w:ascii="Arial" w:hAnsi="Arial"/>
                <w:b w:val="0"/>
                <w:sz w:val="17"/>
              </w:rPr>
              <w:t>• Aplica criterios de prioridad ante actividades que compiten por el mismo tiempo.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Autoexploración privada del uso del tiempo (sin nota) y resolución grupal de un cronograma de caso con prioridades, estudio y descanso.</w:t>
            </w:r>
          </w:p>
        </w:tc>
        <w:tc>
          <w:tcPr>
            <w:tcW w:type="dxa" w:w="2494"/>
          </w:tcPr>
          <w:p>
            <w:r>
              <w:rPr>
                <w:rFonts w:ascii="Arial" w:hAnsi="Arial"/>
                <w:b w:val="0"/>
                <w:sz w:val="17"/>
              </w:rPr>
              <w:t>Cronograma de un caso ficticio (realismo, estudio como eje y descansos) y prioridades justificadas. El cronograma personal puede elaborarse como herramienta privada, pero no se califica por su contenido.</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28</w:t>
            </w:r>
          </w:p>
        </w:tc>
        <w:tc>
          <w:tcPr>
            <w:tcW w:type="dxa" w:w="2948"/>
            <w:vAlign w:val="center"/>
          </w:tcPr>
          <w:p>
            <w:pPr>
              <w:spacing w:after="0" w:before="0"/>
            </w:pPr>
            <w:r>
              <w:rPr>
                <w:rFonts w:ascii="Calibri" w:hAnsi="Calibri"/>
                <w:sz w:val="17"/>
              </w:rPr>
              <w:t xml:space="preserve">Taller PEC D — Organizar para cumplir. Cronograma, roles, recursos y autorizaciones. Capacidades del área vinculadas (programa MEC): «Elabora su cronograma de actividades considerando como eje principal su proceso de aprendizaje.» «Participa activamente y con conocimientos adecuados en el proceso de conformación del Centro de Estudiantes.» Indicadores: elaboración editorial.</w:t>
            </w:r>
          </w:p>
        </w:tc>
        <w:tc>
          <w:tcPr>
            <w:tcW w:type="dxa" w:w="4082"/>
            <w:vAlign w:val="center"/>
          </w:tcPr>
          <w:p>
            <w:pPr>
              <w:spacing w:after="0" w:before="0"/>
            </w:pPr>
            <w:r>
              <w:rPr>
                <w:rFonts w:ascii="Calibri" w:hAnsi="Calibri"/>
                <w:sz w:val="16"/>
              </w:rPr>
              <w:t xml:space="preserve">• Ordena al menos cuatro tareas en un cronograma con semanas, responsables por función y productos.</w:t>
              <w:br/>
            </w:r>
          </w:p>
          <w:p>
            <w:pPr>
              <w:spacing w:after="0" w:before="0"/>
            </w:pPr>
            <w:r>
              <w:rPr>
                <w:rFonts w:ascii="Calibri" w:hAnsi="Calibri"/>
                <w:sz w:val="16"/>
              </w:rPr>
              <w:t xml:space="preserve">• Distingue recursos disponibles, faltantes y alternativas de costo cero, sin cobros obligatorios.</w:t>
              <w:br/>
            </w:r>
          </w:p>
          <w:p>
            <w:pPr>
              <w:spacing w:after="0" w:before="0"/>
            </w:pPr>
            <w:r>
              <w:rPr>
                <w:rFonts w:ascii="Calibri" w:hAnsi="Calibri"/>
                <w:sz w:val="16"/>
              </w:rPr>
              <w:t xml:space="preserve">• Prevé permisos, supervisión adulta y un plan alternativo ante lluvia, falta de materiales o falta de autorización.</w:t>
              <w:br/>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D del tomo. Elaboración guiada de Ficha 4.</w:t>
            </w:r>
          </w:p>
        </w:tc>
        <w:tc>
          <w:tcPr>
            <w:tcW w:type="dxa" w:w="2494"/>
            <w:vAlign w:val="center"/>
          </w:tcPr>
          <w:p>
            <w:pPr>
              <w:spacing w:after="0" w:before="0"/>
            </w:pPr>
            <w:r>
              <w:rPr>
                <w:rFonts w:ascii="Calibri" w:hAnsi="Calibri"/>
                <w:sz w:val="16"/>
              </w:rPr>
              <w:t>Ficha PEC 4: cronograma, responsables, recursos, aliados y permisos.</w:t>
            </w:r>
          </w:p>
        </w:tc>
        <w:tc>
          <w:tcPr>
            <w:tcW w:type="dxa" w:w="1701"/>
            <w:vAlign w:val="center"/>
          </w:tcPr>
          <w:p>
            <w:r>
              <w:t xml:space="preserve">Taller PEC dentro de los 36 encuentros; sin horas adicionales.Ficha de profundización de la unidad: opcional, fuera de los 36 encuentros.</w:t>
              <w:br/>
            </w:r>
          </w:p>
        </w:tc>
      </w:tr>
      <w:tr>
        <w:trPr>
          <w:cantSplit/>
        </w:trPr>
        <w:tc>
          <w:tcPr>
            <w:tcW w:type="dxa" w:w="624"/>
          </w:tcPr>
          <w:p>
            <w:pPr>
              <w:jc w:val="center"/>
            </w:pPr>
            <w:r>
              <w:rPr>
                <w:rFonts w:ascii="Arial" w:hAnsi="Arial"/>
                <w:b/>
                <w:sz w:val="17"/>
              </w:rPr>
              <w:t>29</w:t>
            </w:r>
          </w:p>
        </w:tc>
        <w:tc>
          <w:tcPr>
            <w:tcW w:type="dxa" w:w="2948"/>
          </w:tcPr>
          <w:p>
            <w:r>
              <w:rPr>
                <w:rFonts w:ascii="Arial" w:hAnsi="Arial"/>
                <w:b w:val="0"/>
                <w:sz w:val="17"/>
              </w:rPr>
              <w:t>Evaluación de la Unidad 6 — Organización y planificación</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Resolución individual de la evaluación de la Unidad 6 y autoidentificación de necesidades de refuerzo.</w:t>
            </w:r>
          </w:p>
        </w:tc>
        <w:tc>
          <w:tcPr>
            <w:tcW w:type="dxa" w:w="2494"/>
          </w:tcPr>
          <w:p>
            <w:r>
              <w:rPr>
                <w:rFonts w:ascii="Arial" w:hAnsi="Arial"/>
                <w:b w:val="0"/>
                <w:sz w:val="17"/>
              </w:rPr>
              <w:t>Prueba fotocopiable de la Unidad 6; registro docente de indicadores logrados y no logrados.</w:t>
            </w:r>
          </w:p>
        </w:tc>
        <w:tc>
          <w:tcPr>
            <w:tcW w:type="dxa" w:w="1701"/>
          </w:tcPr>
          <w:p>
            <w:r>
              <w:rPr>
                <w:rFonts w:ascii="Arial" w:hAnsi="Arial"/>
                <w:b w:val="0"/>
                <w:sz w:val="17"/>
              </w:rPr>
              <w:t>Cierre de la Unidad 6.</w:t>
            </w:r>
          </w:p>
        </w:tc>
      </w:tr>
      <w:tr>
        <w:trPr>
          <w:cantSplit/>
        </w:trPr>
        <w:tc>
          <w:tcPr>
            <w:tcW w:type="dxa" w:w="15988"/>
            <w:gridSpan w:val="7"/>
            <w:shd w:val="clear" w:fill="8E5AA0"/>
          </w:tcPr>
          <w:p>
            <w:r>
              <w:rPr>
                <w:rFonts w:ascii="Arial" w:hAnsi="Arial"/>
                <w:b/>
                <w:color w:val="FFFFFF"/>
                <w:sz w:val="18"/>
              </w:rPr>
              <w:t>UNIDAD 7 — GESTIÓN DE RIESGO</w:t>
            </w:r>
          </w:p>
          <w:p>
            <w:r>
              <w:rPr>
                <w:rFonts w:ascii="Arial" w:hAnsi="Arial"/>
                <w:b/>
                <w:color w:val="FFFFFF"/>
                <w:sz w:val="18"/>
              </w:rPr>
              <w:t xml:space="preserve">Capacidades (programa MEC): «Diagnostica situaciones de riesgo en su ámbito familiar, escolar y en su comunidad.» «Considera la gestión de riesgo en la vida cotidiana.» «Aplica normas de comportamiento en caso de riesgos.»</w:t>
            </w:r>
          </w:p>
          <w:p>
            <w:r>
              <w:rPr>
                <w:rFonts w:ascii="Arial" w:hAnsi="Arial"/>
                <w:b/>
                <w:color w:val="FFFFFF"/>
                <w:sz w:val="18"/>
              </w:rPr>
              <w:t>Período aproximado: Octubre – noviembre</w:t>
            </w:r>
          </w:p>
        </w:tc>
      </w:tr>
      <w:tr>
        <w:trPr>
          <w:cantSplit/>
        </w:trPr>
        <w:tc>
          <w:tcPr>
            <w:tcW w:type="dxa" w:w="624"/>
          </w:tcPr>
          <w:p>
            <w:pPr>
              <w:jc w:val="center"/>
            </w:pPr>
            <w:r>
              <w:rPr>
                <w:rFonts w:ascii="Arial" w:hAnsi="Arial"/>
                <w:b/>
                <w:sz w:val="17"/>
              </w:rPr>
              <w:t>30</w:t>
            </w:r>
          </w:p>
        </w:tc>
        <w:tc>
          <w:tcPr>
            <w:tcW w:type="dxa" w:w="2948"/>
          </w:tcPr>
          <w:p>
            <w:r>
              <w:rPr>
                <w:rFonts w:ascii="Arial" w:hAnsi="Arial"/>
                <w:b w:val="0"/>
                <w:sz w:val="17"/>
              </w:rPr>
              <w:t>Clase 19: Diagnosticar riesgos: qué es la gestión de riesgo — La gestión de riesgo: qué es, qué hacemos, cómo y por qué; el diagnóstico de riesgos en el hogar, el colegio y la comunidad.</w:t>
            </w:r>
          </w:p>
        </w:tc>
        <w:tc>
          <w:tcPr>
            <w:tcW w:type="dxa" w:w="4082"/>
          </w:tcPr>
          <w:p>
            <w:r>
              <w:rPr>
                <w:rFonts w:ascii="Arial" w:hAnsi="Arial"/>
                <w:b w:val="0"/>
                <w:sz w:val="17"/>
              </w:rPr>
              <w:t>• Explica el concepto de gestión de riesgo y sus preguntas básicas.</w:t>
            </w:r>
          </w:p>
          <w:p>
            <w:r>
              <w:rPr>
                <w:rFonts w:ascii="Arial" w:hAnsi="Arial"/>
                <w:b w:val="0"/>
                <w:sz w:val="17"/>
              </w:rPr>
              <w:t>• Diferencia amenaza, vulnerabilidad y riesgo con ejemplos locales.</w:t>
            </w:r>
          </w:p>
          <w:p>
            <w:r>
              <w:rPr>
                <w:rFonts w:ascii="Arial" w:hAnsi="Arial"/>
                <w:b w:val="0"/>
                <w:sz w:val="17"/>
              </w:rPr>
              <w:t>• Elabora un diagnóstico sencillo de riesgos de su hogar, su aula o su comunidad.</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Recorrido diagnóstico del colegio con roles asignados y elaboración de la ficha de amenazas, vulnerabilidades y personas expuestas.</w:t>
            </w:r>
          </w:p>
        </w:tc>
        <w:tc>
          <w:tcPr>
            <w:tcW w:type="dxa" w:w="2494"/>
          </w:tcPr>
          <w:p>
            <w:r>
              <w:rPr>
                <w:rFonts w:ascii="Arial" w:hAnsi="Arial"/>
                <w:b w:val="0"/>
                <w:sz w:val="17"/>
              </w:rPr>
              <w:t>Ficha de diagnóstico grupal (precisión y ubicación de los hallazgos) y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31</w:t>
            </w:r>
          </w:p>
        </w:tc>
        <w:tc>
          <w:tcPr>
            <w:tcW w:type="dxa" w:w="2948"/>
            <w:vAlign w:val="center"/>
          </w:tcPr>
          <w:p>
            <w:pPr>
              <w:spacing w:after="0" w:before="0"/>
            </w:pPr>
            <w:r>
              <w:rPr>
                <w:rFonts w:ascii="Calibri" w:hAnsi="Calibri"/>
                <w:sz w:val="17"/>
              </w:rPr>
              <w:t xml:space="preserve">Taller PEC E — Actuar y registrar. Ejecución segura y bitácora. Capacidades del área vinculadas (programa MEC): «Aplica normas de comportamiento en caso de riesgos.» «Elabora su cronograma de actividades considerando como eje principal su proceso de aprendizaje.» Indicadores: elaboración editorial.</w:t>
            </w:r>
          </w:p>
        </w:tc>
        <w:tc>
          <w:tcPr>
            <w:tcW w:type="dxa" w:w="4082"/>
            <w:vAlign w:val="center"/>
          </w:tcPr>
          <w:p>
            <w:pPr>
              <w:spacing w:after="0" w:before="0"/>
            </w:pPr>
            <w:r>
              <w:rPr>
                <w:rFonts w:ascii="Calibri" w:hAnsi="Calibri"/>
                <w:sz w:val="16"/>
              </w:rPr>
              <w:t xml:space="preserve">• Verifica la autorización y las reglas de seguridad antes de realizar la acción o su simulación.</w:t>
              <w:br/>
            </w:r>
          </w:p>
          <w:p>
            <w:pPr>
              <w:spacing w:after="0" w:before="0"/>
            </w:pPr>
            <w:r>
              <w:rPr>
                <w:rFonts w:ascii="Calibri" w:hAnsi="Calibri"/>
                <w:sz w:val="16"/>
              </w:rPr>
              <w:t xml:space="preserve">• Registra en la bitácora lo programado, lo realizado y lo pendiente, sin datos personales.</w:t>
              <w:br/>
            </w:r>
          </w:p>
          <w:p>
            <w:pPr>
              <w:spacing w:after="0" w:before="0"/>
            </w:pPr>
            <w:r>
              <w:rPr>
                <w:rFonts w:ascii="Calibri" w:hAnsi="Calibri"/>
                <w:sz w:val="16"/>
              </w:rPr>
              <w:t xml:space="preserve">• Explica al menos un cambio respecto de lo planificado y el ajuste acordado con el docente.</w:t>
              <w:br/>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E del tomo. Elaboración guiada de Ficha 5.</w:t>
            </w:r>
          </w:p>
        </w:tc>
        <w:tc>
          <w:tcPr>
            <w:tcW w:type="dxa" w:w="2494"/>
            <w:vAlign w:val="center"/>
          </w:tcPr>
          <w:p>
            <w:pPr>
              <w:spacing w:after="0" w:before="0"/>
            </w:pPr>
            <w:r>
              <w:rPr>
                <w:rFonts w:ascii="Calibri" w:hAnsi="Calibri"/>
                <w:sz w:val="16"/>
              </w:rPr>
              <w:t>Ficha PEC 5: bitácora de ejecución, cambios y evidencias anónimas.</w:t>
            </w:r>
          </w:p>
        </w:tc>
        <w:tc>
          <w:tcPr>
            <w:tcW w:type="dxa" w:w="1701"/>
            <w:vAlign w:val="center"/>
          </w:tcPr>
          <w:p>
            <w:r>
              <w:t xml:space="preserve">Taller PEC dentro de los 36 encuentros; sin horas adicionales.Ficha de profundización de la unidad: opcional, fuera de los 36 encuentros.</w:t>
              <w:br/>
            </w:r>
          </w:p>
        </w:tc>
      </w:tr>
      <w:tr>
        <w:trPr>
          <w:cantSplit/>
        </w:trPr>
        <w:tc>
          <w:tcPr>
            <w:tcW w:type="dxa" w:w="624"/>
          </w:tcPr>
          <w:p>
            <w:pPr>
              <w:jc w:val="center"/>
            </w:pPr>
            <w:r>
              <w:rPr>
                <w:rFonts w:ascii="Arial" w:hAnsi="Arial"/>
                <w:b/>
                <w:sz w:val="17"/>
              </w:rPr>
              <w:t>32</w:t>
            </w:r>
          </w:p>
        </w:tc>
        <w:tc>
          <w:tcPr>
            <w:tcW w:type="dxa" w:w="2948"/>
          </w:tcPr>
          <w:p>
            <w:r>
              <w:rPr>
                <w:rFonts w:ascii="Arial" w:hAnsi="Arial"/>
                <w:b w:val="0"/>
                <w:sz w:val="17"/>
              </w:rPr>
              <w:t>Clase 20: Del riesgo a la acción: prevención, mitigación y resiliencia — Elaboración y selección de acciones de prevención, mitigación, emergencia, primeros auxilios, atención y resiliencia.</w:t>
            </w:r>
          </w:p>
        </w:tc>
        <w:tc>
          <w:tcPr>
            <w:tcW w:type="dxa" w:w="4082"/>
          </w:tcPr>
          <w:p>
            <w:r>
              <w:rPr>
                <w:rFonts w:ascii="Arial" w:hAnsi="Arial"/>
                <w:b w:val="0"/>
                <w:sz w:val="17"/>
              </w:rPr>
              <w:t>• Distingue las fases del ciclo de la gestión de riesgo.</w:t>
            </w:r>
          </w:p>
          <w:p>
            <w:r>
              <w:rPr>
                <w:rFonts w:ascii="Arial" w:hAnsi="Arial"/>
                <w:b w:val="0"/>
                <w:sz w:val="17"/>
              </w:rPr>
              <w:t>• Propone acciones concretas de prevención y mitigación para riesgos diagnosticados.</w:t>
            </w:r>
          </w:p>
          <w:p>
            <w:r>
              <w:rPr>
                <w:rFonts w:ascii="Arial" w:hAnsi="Arial"/>
                <w:b w:val="0"/>
                <w:sz w:val="17"/>
              </w:rPr>
              <w:t>• Describe conductas básicas de emergencia y primeros auxilios al alcance de un estudiante.</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Conversión del diagnóstico en plan de acciones por fase del ciclo y priorización del «plan mínimo» de tres acciones.</w:t>
            </w:r>
          </w:p>
        </w:tc>
        <w:tc>
          <w:tcPr>
            <w:tcW w:type="dxa" w:w="2494"/>
          </w:tcPr>
          <w:p>
            <w:r>
              <w:rPr>
                <w:rFonts w:ascii="Arial" w:hAnsi="Arial"/>
                <w:b w:val="0"/>
                <w:sz w:val="17"/>
              </w:rPr>
              <w:t>Plan mínimo grupal (acciones, responsables, fases correctas) y ejercitario individual.</w:t>
            </w:r>
          </w:p>
        </w:tc>
        <w:tc>
          <w:tcPr>
            <w:tcW w:type="dxa" w:w="1701"/>
          </w:tcPr>
          <w:p>
            <w:r>
              <w:rPr>
                <w:rFonts w:ascii="Arial" w:hAnsi="Arial"/>
                <w:b w:val="0"/>
                <w:sz w:val="17"/>
              </w:rPr>
            </w:r>
          </w:p>
        </w:tc>
      </w:tr>
      <w:tr>
        <w:trPr>
          <w:cantSplit/>
        </w:trPr>
        <w:tc>
          <w:tcPr>
            <w:tcW w:type="dxa" w:w="624"/>
          </w:tcPr>
          <w:p>
            <w:pPr>
              <w:jc w:val="center"/>
            </w:pPr>
            <w:r>
              <w:rPr>
                <w:rFonts w:ascii="Arial" w:hAnsi="Arial"/>
                <w:b/>
                <w:sz w:val="17"/>
              </w:rPr>
              <w:t>33</w:t>
            </w:r>
          </w:p>
        </w:tc>
        <w:tc>
          <w:tcPr>
            <w:tcW w:type="dxa" w:w="2948"/>
          </w:tcPr>
          <w:p>
            <w:r>
              <w:rPr>
                <w:rFonts w:ascii="Arial" w:hAnsi="Arial"/>
                <w:b w:val="0"/>
                <w:sz w:val="17"/>
              </w:rPr>
              <w:t>Clase 21: Normas de comportamiento en casos de riesgo — Normas de comportamiento ante desastres naturales (tormentas, inundaciones), incendios y cortes de energía eléctrica; números de emergencia.</w:t>
            </w:r>
          </w:p>
        </w:tc>
        <w:tc>
          <w:tcPr>
            <w:tcW w:type="dxa" w:w="4082"/>
          </w:tcPr>
          <w:p>
            <w:r>
              <w:rPr>
                <w:rFonts w:ascii="Arial" w:hAnsi="Arial"/>
                <w:b w:val="0"/>
                <w:sz w:val="17"/>
              </w:rPr>
              <w:t>• Enuncia las normas de comportamiento adecuadas para cada tipo de riesgo trabajado.</w:t>
            </w:r>
          </w:p>
          <w:p>
            <w:r>
              <w:rPr>
                <w:rFonts w:ascii="Arial" w:hAnsi="Arial"/>
                <w:b w:val="0"/>
                <w:sz w:val="17"/>
              </w:rPr>
              <w:t>• Aplica las normas en un simulacro o situación planteada.</w:t>
            </w:r>
          </w:p>
          <w:p>
            <w:r>
              <w:rPr>
                <w:rFonts w:ascii="Arial" w:hAnsi="Arial"/>
                <w:b w:val="0"/>
                <w:sz w:val="17"/>
              </w:rPr>
              <w:t>• Identifica los números de emergencia del país y cuándo llamar a cada uno.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Simulacro de evacuación cronometrado (o su planificación) y resolución grupal de tarjetas de reacción con normas y números de emergencia.</w:t>
            </w:r>
          </w:p>
        </w:tc>
        <w:tc>
          <w:tcPr>
            <w:tcW w:type="dxa" w:w="2494"/>
          </w:tcPr>
          <w:p>
            <w:r>
              <w:rPr>
                <w:rFonts w:ascii="Arial" w:hAnsi="Arial"/>
                <w:b w:val="0"/>
                <w:sz w:val="17"/>
              </w:rPr>
              <w:t>Desempeño en el simulacro y en las tarjetas de reacción (normas correctas y número pertinente); evaluación de la unidad.</w:t>
            </w:r>
          </w:p>
        </w:tc>
        <w:tc>
          <w:tcPr>
            <w:tcW w:type="dxa" w:w="1701"/>
          </w:tcPr>
          <w:p>
            <w:r>
              <w:rPr>
                <w:rFonts w:ascii="Arial" w:hAnsi="Arial"/>
                <w:b w:val="0"/>
                <w:sz w:val="17"/>
              </w:rPr>
              <w:t/>
            </w:r>
          </w:p>
        </w:tc>
      </w:tr>
      <w:tr>
        <w:trPr>
          <w:cantSplit/>
        </w:trPr>
        <w:tc>
          <w:tcPr>
            <w:tcW w:type="dxa" w:w="624"/>
          </w:tcPr>
          <w:p>
            <w:pPr>
              <w:jc w:val="center"/>
            </w:pPr>
            <w:r>
              <w:rPr>
                <w:rFonts w:ascii="Arial" w:hAnsi="Arial"/>
                <w:b/>
                <w:sz w:val="17"/>
              </w:rPr>
              <w:t>34</w:t>
            </w:r>
          </w:p>
        </w:tc>
        <w:tc>
          <w:tcPr>
            <w:tcW w:type="dxa" w:w="2948"/>
            <w:vAlign w:val="center"/>
          </w:tcPr>
          <w:p>
            <w:pPr>
              <w:spacing w:after="0" w:before="0"/>
            </w:pPr>
            <w:r>
              <w:rPr>
                <w:rFonts w:ascii="Calibri" w:hAnsi="Calibri"/>
                <w:sz w:val="17"/>
              </w:rPr>
              <w:t xml:space="preserve">Taller PEC F — Aprender de los resultados. Evaluación, informe y devolución. Capacidades del área vinculadas (programa MEC): «Interpreta los criterios de evaluación a ser considerados en el noveno grado en sus distintas funciones.» «Emprende acciones que promuevan el cumplimiento de los artículos de los DD. HH referentes a la no discriminación.» Indicadores: elaboración editorial.</w:t>
            </w:r>
          </w:p>
        </w:tc>
        <w:tc>
          <w:tcPr>
            <w:tcW w:type="dxa" w:w="4082"/>
            <w:vAlign w:val="center"/>
          </w:tcPr>
          <w:p>
            <w:pPr>
              <w:spacing w:after="0" w:before="0"/>
            </w:pPr>
            <w:r>
              <w:rPr>
                <w:rFonts w:ascii="Calibri" w:hAnsi="Calibri"/>
                <w:sz w:val="16"/>
              </w:rPr>
              <w:t xml:space="preserve">• Compara cada meta con el producto obtenido y su evidencia, y valora el logro con la escala L, NL o NM.</w:t>
              <w:br/>
            </w:r>
          </w:p>
          <w:p>
            <w:pPr>
              <w:spacing w:after="0" w:before="0"/>
            </w:pPr>
            <w:r>
              <w:rPr>
                <w:rFonts w:ascii="Calibri" w:hAnsi="Calibri"/>
                <w:sz w:val="16"/>
              </w:rPr>
              <w:t xml:space="preserve">• Calcula un indicador sencillo solo con datos fiables y reconoce lo que no se puede afirmar.</w:t>
              <w:br/>
            </w:r>
          </w:p>
          <w:p>
            <w:pPr>
              <w:spacing w:after="0" w:before="0"/>
            </w:pPr>
            <w:r>
              <w:rPr>
                <w:rFonts w:ascii="Calibri" w:hAnsi="Calibri"/>
                <w:sz w:val="16"/>
              </w:rPr>
              <w:t xml:space="preserve">• Comunica resultados, límites y una mejora realista en una presentación breve y autorizada.</w:t>
              <w:br/>
            </w:r>
          </w:p>
        </w:tc>
        <w:tc>
          <w:tcPr>
            <w:tcW w:type="dxa" w:w="964"/>
            <w:vAlign w:val="center"/>
          </w:tcPr>
          <w:p>
            <w:pPr>
              <w:spacing w:after="0" w:before="0"/>
            </w:pPr>
            <w:r>
              <w:rPr>
                <w:rFonts w:ascii="Calibri" w:hAnsi="Calibri"/>
                <w:sz w:val="18"/>
              </w:rPr>
              <w:t>3 HC</w:t>
            </w:r>
          </w:p>
        </w:tc>
        <w:tc>
          <w:tcPr>
            <w:tcW w:type="dxa" w:w="3175"/>
            <w:vAlign w:val="center"/>
          </w:tcPr>
          <w:p>
            <w:pPr>
              <w:spacing w:after="0" w:before="0"/>
            </w:pPr>
            <w:r>
              <w:rPr>
                <w:rFonts w:ascii="Calibri" w:hAnsi="Calibri"/>
                <w:sz w:val="16"/>
              </w:rPr>
              <w:t>Inicio 20 min, desarrollos 35 + 40 min y cierre 25 min según Taller PEC F del tomo. Elaboración guiada de Ficha 6.</w:t>
            </w:r>
          </w:p>
        </w:tc>
        <w:tc>
          <w:tcPr>
            <w:tcW w:type="dxa" w:w="2494"/>
            <w:vAlign w:val="center"/>
          </w:tcPr>
          <w:p>
            <w:pPr>
              <w:spacing w:after="0" w:before="0"/>
            </w:pPr>
            <w:r>
              <w:rPr>
                <w:rFonts w:ascii="Calibri" w:hAnsi="Calibri"/>
                <w:sz w:val="16"/>
              </w:rPr>
              <w:t>Ficha PEC 6: informe, autoevaluación y rúbrica formativa del proyecto.</w:t>
            </w:r>
          </w:p>
        </w:tc>
        <w:tc>
          <w:tcPr>
            <w:tcW w:type="dxa" w:w="1701"/>
            <w:vAlign w:val="center"/>
          </w:tcPr>
          <w:p>
            <w:r>
              <w:t xml:space="preserve">Taller PEC dentro de los 36 encuentros; sin horas adicionales.Ficha de profundización de la unidad: opcional, fuera de los 36 encuentros.</w:t>
              <w:br/>
            </w:r>
          </w:p>
        </w:tc>
      </w:tr>
      <w:tr>
        <w:trPr>
          <w:cantSplit/>
        </w:trPr>
        <w:tc>
          <w:tcPr>
            <w:tcW w:type="dxa" w:w="624"/>
          </w:tcPr>
          <w:p>
            <w:pPr>
              <w:jc w:val="center"/>
            </w:pPr>
            <w:r>
              <w:rPr>
                <w:rFonts w:ascii="Arial" w:hAnsi="Arial"/>
                <w:b/>
                <w:sz w:val="17"/>
              </w:rPr>
              <w:t>35</w:t>
            </w:r>
          </w:p>
        </w:tc>
        <w:tc>
          <w:tcPr>
            <w:tcW w:type="dxa" w:w="2948"/>
          </w:tcPr>
          <w:p>
            <w:r>
              <w:rPr>
                <w:rFonts w:ascii="Arial" w:hAnsi="Arial"/>
                <w:b w:val="0"/>
                <w:sz w:val="17"/>
              </w:rPr>
              <w:t>Evaluación de la Unidad 7 — Gestión de riesgo</w:t>
            </w:r>
          </w:p>
        </w:tc>
        <w:tc>
          <w:tcPr>
            <w:tcW w:type="dxa" w:w="4082"/>
          </w:tcPr>
          <w:p>
            <w:r>
              <w:rPr>
                <w:rFonts w:ascii="Arial" w:hAnsi="Arial"/>
                <w:b w:val="0"/>
                <w:sz w:val="17"/>
              </w:rPr>
              <w:t>• Integra los indicadores de logro trabajados en la unidad.</w:t>
              <w:br/>
              <w:t>• Resuelve situaciones de aplicación sin necesidad de revelar experiencias o decisiones personales.</w:t>
              <w:br/>
              <w:t>• Identifica los contenidos que necesita reforzar a partir de su desempeño.</w:t>
            </w:r>
          </w:p>
        </w:tc>
        <w:tc>
          <w:tcPr>
            <w:tcW w:type="dxa" w:w="964"/>
          </w:tcPr>
          <w:p>
            <w:pPr>
              <w:jc w:val="center"/>
            </w:pPr>
            <w:r>
              <w:rPr>
                <w:rFonts w:ascii="Arial" w:hAnsi="Arial"/>
                <w:b w:val="0"/>
                <w:sz w:val="17"/>
              </w:rPr>
              <w:t xml:space="preserve">3 HC</w:t>
            </w:r>
          </w:p>
        </w:tc>
        <w:tc>
          <w:tcPr>
            <w:tcW w:type="dxa" w:w="3175"/>
          </w:tcPr>
          <w:p>
            <w:r>
              <w:rPr>
                <w:rFonts w:ascii="Arial" w:hAnsi="Arial"/>
                <w:b w:val="0"/>
                <w:sz w:val="17"/>
              </w:rPr>
              <w:t>Resolución individual de la evaluación de la Unidad 7 y autoidentificación de necesidades de refuerzo.</w:t>
            </w:r>
          </w:p>
        </w:tc>
        <w:tc>
          <w:tcPr>
            <w:tcW w:type="dxa" w:w="2494"/>
          </w:tcPr>
          <w:p>
            <w:r>
              <w:rPr>
                <w:rFonts w:ascii="Arial" w:hAnsi="Arial"/>
                <w:b w:val="0"/>
                <w:sz w:val="17"/>
              </w:rPr>
              <w:t>Prueba fotocopiable de la Unidad 7; registro docente de indicadores logrados y no logrados.</w:t>
            </w:r>
          </w:p>
        </w:tc>
        <w:tc>
          <w:tcPr>
            <w:tcW w:type="dxa" w:w="1701"/>
          </w:tcPr>
          <w:p>
            <w:r>
              <w:rPr>
                <w:rFonts w:ascii="Arial" w:hAnsi="Arial"/>
                <w:b w:val="0"/>
                <w:sz w:val="17"/>
              </w:rPr>
              <w:t>Cierre de la Unidad 7.</w:t>
            </w:r>
          </w:p>
        </w:tc>
      </w:tr>
      <w:tr>
        <w:trPr>
          <w:cantSplit/>
        </w:trPr>
        <w:tc>
          <w:tcPr>
            <w:tcW w:type="dxa" w:w="624"/>
            <w:shd w:val="clear" w:fill="EAF1F6"/>
          </w:tcPr>
          <w:p>
            <w:pPr>
              <w:jc w:val="center"/>
            </w:pPr>
            <w:r>
              <w:rPr>
                <w:rFonts w:ascii="Arial" w:hAnsi="Arial"/>
                <w:b/>
                <w:sz w:val="17"/>
              </w:rPr>
              <w:t>36</w:t>
            </w:r>
          </w:p>
        </w:tc>
        <w:tc>
          <w:tcPr>
            <w:tcW w:type="dxa" w:w="2948"/>
            <w:shd w:val="clear" w:fill="EAF1F6"/>
          </w:tcPr>
          <w:p>
            <w:r>
              <w:rPr>
                <w:rFonts w:ascii="Arial" w:hAnsi="Arial"/>
                <w:b/>
                <w:sz w:val="17"/>
              </w:rPr>
              <w:t>EVALUACIÓN INTEGRADORA DE LA 2.ª ETAPA — Unidades 5 a 7 (cierre: noviembre)</w:t>
            </w:r>
          </w:p>
        </w:tc>
        <w:tc>
          <w:tcPr>
            <w:tcW w:type="dxa" w:w="4082"/>
            <w:shd w:val="clear" w:fill="EAF1F6"/>
          </w:tcPr>
          <w:p>
            <w:r>
              <w:rPr>
                <w:rFonts w:ascii="Arial" w:hAnsi="Arial"/>
                <w:b w:val="0"/>
                <w:sz w:val="17"/>
              </w:rPr>
              <w:t>Integra los indicadores de las unidades de la etapa.</w:t>
            </w:r>
          </w:p>
        </w:tc>
        <w:tc>
          <w:tcPr>
            <w:tcW w:type="dxa" w:w="964"/>
            <w:shd w:val="clear" w:fill="EAF1F6"/>
          </w:tcPr>
          <w:p>
            <w:pPr>
              <w:jc w:val="center"/>
            </w:pPr>
            <w:r>
              <w:rPr>
                <w:rFonts w:ascii="Arial" w:hAnsi="Arial"/>
                <w:b w:val="0"/>
                <w:sz w:val="17"/>
              </w:rPr>
              <w:t xml:space="preserve">3 HC</w:t>
            </w:r>
          </w:p>
        </w:tc>
        <w:tc>
          <w:tcPr>
            <w:tcW w:type="dxa" w:w="3175"/>
            <w:shd w:val="clear" w:fill="EAF1F6"/>
          </w:tcPr>
          <w:p>
            <w:r>
              <w:rPr>
                <w:rFonts w:ascii="Arial" w:hAnsi="Arial"/>
                <w:b w:val="0"/>
                <w:sz w:val="17"/>
              </w:rPr>
              <w:t>Resolución individual de la prueba integradora.</w:t>
            </w:r>
          </w:p>
        </w:tc>
        <w:tc>
          <w:tcPr>
            <w:tcW w:type="dxa" w:w="2494"/>
            <w:shd w:val="clear" w:fill="EAF1F6"/>
          </w:tcPr>
          <w:p>
            <w:r>
              <w:rPr>
                <w:rFonts w:ascii="Arial" w:hAnsi="Arial"/>
                <w:b w:val="0"/>
                <w:sz w:val="17"/>
              </w:rPr>
              <w:t>Prueba integradora fotocopiable: comprensión y situaciones integradoras; el balance personal del año queda como autoevaluación privada sin nota.</w:t>
            </w:r>
          </w:p>
        </w:tc>
        <w:tc>
          <w:tcPr>
            <w:tcW w:type="dxa" w:w="1701"/>
            <w:shd w:val="clear" w:fill="EAF1F6"/>
          </w:tcPr>
          <w:p>
            <w:r>
              <w:rPr>
                <w:rFonts w:ascii="Arial" w:hAnsi="Arial"/>
                <w:b w:val="0"/>
                <w:sz w:val="17"/>
              </w:rPr>
              <w:t>Se aplica en página propia; cierre de la segunda etapa y del año.</w:t>
            </w:r>
          </w:p>
        </w:tc>
      </w:tr>
    </w:tbl>
    <w:p/>
    <w:p>
      <w:pPr>
        <w:pStyle w:val="Heading2"/>
      </w:pPr>
      <w:r>
        <w:t>Criterios generales de planificación</w:t>
      </w:r>
    </w:p>
    <w:p>
      <w:r>
        <w:rPr>
          <w:sz w:val="18"/>
        </w:rPr>
        <w:t>• Valoración por proceso con evidencias variadas: producciones individuales y grupales, dramatizaciones, diagnósticos, planes y ejercitarios, conforme a los criterios y la escala vigentes comunicados por la institución y el MEC para el año lectivo.</w:t>
      </w:r>
    </w:p>
    <w:p>
      <w:r>
        <w:rPr>
          <w:sz w:val="18"/>
        </w:rPr>
        <w:t>• Las secciones «Mirate» son privadas y no se califican; se valora la participación respetuosa, no el contenido personal. En autoconocimiento, orientación vocacional y cronograma se evalúa la aplicación de criterios a casos o productos anonimizados, nunca la elección real, el resultado del test ni información privada del estudiante.</w:t>
      </w:r>
    </w:p>
    <w:p>
      <w:r>
        <w:rPr>
          <w:sz w:val="18"/>
        </w:rPr>
        <w:t>• Las evaluaciones de unidad y de etapa se aplican en instrumentos fotocopiables de página propia, sin solucionario a la vista.</w:t>
      </w:r>
    </w:p>
    <w:p>
      <w:r>
        <w:rPr>
          <w:sz w:val="18"/>
        </w:rPr>
        <w:t>• En los temas sensibles (vida afectiva, sexualidad, riesgos) se evalúa la comprensión de conceptos y conductas de cuidado, nunca la experiencia personal del estudiante.</w:t>
      </w:r>
    </w:p>
    <w:p>
      <w:pPr>
        <w:pStyle w:val="Heading2"/>
      </w:pPr>
      <w:r>
        <w:t>Estrategias de inclusión</w:t>
      </w:r>
    </w:p>
    <w:p>
      <w:r>
        <w:rPr>
          <w:sz w:val="18"/>
        </w:rPr>
        <w:t>• Consignas orales o gráficas alternativas para estudiantes con dificultades de lectoescritura.</w:t>
      </w:r>
    </w:p>
    <w:p>
      <w:r>
        <w:rPr>
          <w:sz w:val="18"/>
        </w:rPr>
        <w:t>• Tiempo adicional y apoyos visuales (figuras del cuadernillo) en las evaluaciones cuando el ajuste esté indicado.</w:t>
      </w:r>
    </w:p>
    <w:p>
      <w:r>
        <w:rPr>
          <w:sz w:val="18"/>
        </w:rPr>
        <w:t>• Agrupamientos heterogéneos rotativos que aseguren la participación de todos en dinámicas y dramatizaciones.</w:t>
      </w:r>
    </w:p>
    <w:p>
      <w:r>
        <w:rPr>
          <w:sz w:val="18"/>
        </w:rPr>
        <w:t>• Uso del castellano y del guaraní según la lengua de mejor expresión de cada estudiante en las producciones orales.</w:t>
      </w:r>
    </w:p>
    <w:p/>
    <w:p/>
    <w:p>
      <w:pPr>
        <w:jc w:val="center"/>
      </w:pPr>
      <w:r>
        <w:rPr>
          <w:sz w:val="18"/>
        </w:rPr>
        <w:t>__________________________________</w:t>
        <w:br/>
        <w:t>Firma del docente</w:t>
      </w:r>
    </w:p>
    <w:p>
      <w:pPr>
        <w:pStyle w:val="Heading1"/>
      </w:pPr>
      <w:r>
        <w:rPr>
          <w:color w:val="4B2D69"/>
        </w:rPr>
        <w:t>Articulación curricular y organización del Proyecto Educativo Comunitario</w:t>
      </w:r>
    </w:p>
    <w:p>
      <w:pPr/>
      <w:r>
        <w:rPr>
          <w:sz w:val="19"/>
        </w:rPr>
        <w:t>Desarrollo Personal y Social de 9.º grado integra Orientación Educacional y Vocacional y Proyecto Educativo Comunitario (PEC). Los talleres PEC A–F corresponden a los encuentros 20, 22, 26, 28, 31 y 34 de esta planificación anual. Las seis fichas de profundización A–F incluidas en las unidades del tomo son recursos opcionales de apoyo, recuperación o trabajo autónomo: NO deben contabilizarse como otros seis encuentros.</w:t>
      </w:r>
    </w:p>
    <w:p>
      <w:pPr/>
      <w:r>
        <w:rPr>
          <w:sz w:val="19"/>
        </w:rPr>
        <w:t>El calendario 36 encuentros × 3 HC = 108 HC es una referencia editorial adaptable, no un mandato universal del MEC ni una asignación adicional de horas exclusivamente al PEC. Cada taller PEC se desarrolla en 120 minutos y utiliza su Ficha PEC 1–6 en el tomo. La carga real se adecuará al PEI/PCI y al calendario del establecimiento.</w:t>
      </w:r>
    </w:p>
    <w:p>
      <w:pPr>
        <w:keepNext/>
      </w:pPr>
      <w:r>
        <w:rPr>
          <w:sz w:val="19"/>
        </w:rPr>
        <w:t>Proyecto modelo del grado: Comunidad que cuida: puntos limpios y hábitos responsables. El proyecto real del curso se elige a partir de un diagnóstico, participación estudiantil y autorización de la dirección, sin imponer como obligatorio el modelo propuesto.</w:t>
      </w:r>
    </w:p>
    <w:tbl>
      <w:tblPr>
        <w:tblStyle w:val="TableGrid"/>
        <w:tblW w:type="auto" w:w="0"/>
        <w:tblLook w:firstColumn="1" w:firstRow="1" w:lastColumn="0" w:lastRow="0" w:noHBand="0" w:noVBand="1" w:val="04A0"/>
      </w:tblPr>
      <w:tblGrid>
        <w:gridCol w:w="5046"/>
        <w:gridCol w:w="5046"/>
        <w:gridCol w:w="5046"/>
      </w:tblGrid>
      <w:tr>
        <w:trPr>
          <w:cantSplit/>
        </w:trPr>
        <w:tc>
          <w:tcPr>
            <w:tcW w:type="dxa" w:w="5046"/>
            <w:vAlign w:val="center"/>
          </w:tcPr>
          <w:p>
            <w:pPr>
              <w:keepNext/>
              <w:spacing w:after="0" w:before="0"/>
            </w:pPr>
            <w:r>
              <w:rPr>
                <w:rFonts w:ascii="Calibri" w:hAnsi="Calibri"/>
                <w:b/>
                <w:sz w:val="18"/>
              </w:rPr>
              <w:t>Encuentro</w:t>
            </w:r>
          </w:p>
        </w:tc>
        <w:tc>
          <w:tcPr>
            <w:tcW w:type="dxa" w:w="5046"/>
            <w:vAlign w:val="center"/>
          </w:tcPr>
          <w:p>
            <w:pPr>
              <w:keepNext/>
              <w:spacing w:after="0" w:before="0"/>
            </w:pPr>
            <w:r>
              <w:rPr>
                <w:rFonts w:ascii="Calibri" w:hAnsi="Calibri"/>
                <w:b/>
                <w:sz w:val="18"/>
              </w:rPr>
              <w:t>Taller PEC</w:t>
            </w:r>
          </w:p>
        </w:tc>
        <w:tc>
          <w:tcPr>
            <w:tcW w:type="dxa" w:w="5046"/>
            <w:vAlign w:val="center"/>
          </w:tcPr>
          <w:p>
            <w:pPr>
              <w:keepNext/>
              <w:spacing w:after="0" w:before="0"/>
            </w:pPr>
            <w:r>
              <w:rPr>
                <w:rFonts w:ascii="Calibri" w:hAnsi="Calibri"/>
                <w:b/>
                <w:sz w:val="18"/>
              </w:rPr>
              <w:t>Evidencia del proceso</w:t>
            </w:r>
          </w:p>
        </w:tc>
      </w:tr>
      <w:tr>
        <w:trPr>
          <w:cantSplit/>
        </w:trPr>
        <w:tc>
          <w:tcPr>
            <w:tcW w:type="dxa" w:w="5046"/>
            <w:vAlign w:val="center"/>
          </w:tcPr>
          <w:p>
            <w:pPr>
              <w:keepNext/>
              <w:spacing w:after="0" w:before="0"/>
            </w:pPr>
            <w:r>
              <w:rPr>
                <w:rFonts w:ascii="Calibri" w:hAnsi="Calibri"/>
                <w:sz w:val="17"/>
              </w:rPr>
              <w:t>20</w:t>
            </w:r>
          </w:p>
        </w:tc>
        <w:tc>
          <w:tcPr>
            <w:tcW w:type="dxa" w:w="5046"/>
            <w:vAlign w:val="center"/>
          </w:tcPr>
          <w:p>
            <w:pPr>
              <w:keepNext/>
              <w:spacing w:after="0" w:before="0"/>
            </w:pPr>
            <w:r>
              <w:rPr>
                <w:rFonts w:ascii="Calibri" w:hAnsi="Calibri"/>
                <w:sz w:val="17"/>
              </w:rPr>
              <w:t>A · Mirar antes de actuar</w:t>
            </w:r>
          </w:p>
        </w:tc>
        <w:tc>
          <w:tcPr>
            <w:tcW w:type="dxa" w:w="5046"/>
            <w:vAlign w:val="center"/>
          </w:tcPr>
          <w:p>
            <w:pPr>
              <w:keepNext/>
              <w:spacing w:after="0" w:before="0"/>
            </w:pPr>
            <w:r>
              <w:rPr>
                <w:rFonts w:ascii="Calibri" w:hAnsi="Calibri"/>
                <w:sz w:val="17"/>
              </w:rPr>
              <w:t>Ficha 1 y observación formativa</w:t>
            </w:r>
          </w:p>
        </w:tc>
      </w:tr>
      <w:tr>
        <w:trPr>
          <w:cantSplit/>
        </w:trPr>
        <w:tc>
          <w:tcPr>
            <w:tcW w:type="dxa" w:w="5046"/>
            <w:vAlign w:val="center"/>
          </w:tcPr>
          <w:p>
            <w:pPr>
              <w:keepNext/>
              <w:spacing w:after="0" w:before="0"/>
            </w:pPr>
            <w:r>
              <w:rPr>
                <w:rFonts w:ascii="Calibri" w:hAnsi="Calibri"/>
                <w:sz w:val="17"/>
              </w:rPr>
              <w:t>22</w:t>
            </w:r>
          </w:p>
        </w:tc>
        <w:tc>
          <w:tcPr>
            <w:tcW w:type="dxa" w:w="5046"/>
            <w:vAlign w:val="center"/>
          </w:tcPr>
          <w:p>
            <w:pPr>
              <w:keepNext/>
              <w:spacing w:after="0" w:before="0"/>
            </w:pPr>
            <w:r>
              <w:rPr>
                <w:rFonts w:ascii="Calibri" w:hAnsi="Calibri"/>
                <w:sz w:val="17"/>
              </w:rPr>
              <w:t>B · Elegir con razones</w:t>
            </w:r>
          </w:p>
        </w:tc>
        <w:tc>
          <w:tcPr>
            <w:tcW w:type="dxa" w:w="5046"/>
            <w:vAlign w:val="center"/>
          </w:tcPr>
          <w:p>
            <w:pPr>
              <w:keepNext/>
              <w:spacing w:after="0" w:before="0"/>
            </w:pPr>
            <w:r>
              <w:rPr>
                <w:rFonts w:ascii="Calibri" w:hAnsi="Calibri"/>
                <w:sz w:val="17"/>
              </w:rPr>
              <w:t>Ficha 2 y observación formativa</w:t>
            </w:r>
          </w:p>
        </w:tc>
      </w:tr>
      <w:tr>
        <w:trPr>
          <w:cantSplit/>
        </w:trPr>
        <w:tc>
          <w:tcPr>
            <w:tcW w:type="dxa" w:w="5046"/>
            <w:vAlign w:val="center"/>
          </w:tcPr>
          <w:p>
            <w:pPr>
              <w:keepNext/>
              <w:spacing w:after="0" w:before="0"/>
            </w:pPr>
            <w:r>
              <w:rPr>
                <w:rFonts w:ascii="Calibri" w:hAnsi="Calibri"/>
                <w:sz w:val="17"/>
              </w:rPr>
              <w:t>26</w:t>
            </w:r>
          </w:p>
        </w:tc>
        <w:tc>
          <w:tcPr>
            <w:tcW w:type="dxa" w:w="5046"/>
            <w:vAlign w:val="center"/>
          </w:tcPr>
          <w:p>
            <w:pPr>
              <w:keepNext/>
              <w:spacing w:after="0" w:before="0"/>
            </w:pPr>
            <w:r>
              <w:rPr>
                <w:rFonts w:ascii="Calibri" w:hAnsi="Calibri"/>
                <w:sz w:val="17"/>
              </w:rPr>
              <w:t>C · Pasar de la idea al plan</w:t>
            </w:r>
          </w:p>
        </w:tc>
        <w:tc>
          <w:tcPr>
            <w:tcW w:type="dxa" w:w="5046"/>
            <w:vAlign w:val="center"/>
          </w:tcPr>
          <w:p>
            <w:pPr>
              <w:keepNext/>
              <w:spacing w:after="0" w:before="0"/>
            </w:pPr>
            <w:r>
              <w:rPr>
                <w:rFonts w:ascii="Calibri" w:hAnsi="Calibri"/>
                <w:sz w:val="17"/>
              </w:rPr>
              <w:t>Ficha 3 y observación formativa</w:t>
            </w:r>
          </w:p>
        </w:tc>
      </w:tr>
      <w:tr>
        <w:trPr>
          <w:cantSplit/>
        </w:trPr>
        <w:tc>
          <w:tcPr>
            <w:tcW w:type="dxa" w:w="5046"/>
            <w:vAlign w:val="center"/>
          </w:tcPr>
          <w:p>
            <w:pPr>
              <w:keepNext/>
              <w:spacing w:after="0" w:before="0"/>
            </w:pPr>
            <w:r>
              <w:rPr>
                <w:rFonts w:ascii="Calibri" w:hAnsi="Calibri"/>
                <w:sz w:val="17"/>
              </w:rPr>
              <w:t>28</w:t>
            </w:r>
          </w:p>
        </w:tc>
        <w:tc>
          <w:tcPr>
            <w:tcW w:type="dxa" w:w="5046"/>
            <w:vAlign w:val="center"/>
          </w:tcPr>
          <w:p>
            <w:pPr>
              <w:keepNext/>
              <w:spacing w:after="0" w:before="0"/>
            </w:pPr>
            <w:r>
              <w:rPr>
                <w:rFonts w:ascii="Calibri" w:hAnsi="Calibri"/>
                <w:sz w:val="17"/>
              </w:rPr>
              <w:t>D · Organizar para cumplir</w:t>
            </w:r>
          </w:p>
        </w:tc>
        <w:tc>
          <w:tcPr>
            <w:tcW w:type="dxa" w:w="5046"/>
            <w:vAlign w:val="center"/>
          </w:tcPr>
          <w:p>
            <w:pPr>
              <w:keepNext/>
              <w:spacing w:after="0" w:before="0"/>
            </w:pPr>
            <w:r>
              <w:rPr>
                <w:rFonts w:ascii="Calibri" w:hAnsi="Calibri"/>
                <w:sz w:val="17"/>
              </w:rPr>
              <w:t>Ficha 4 y observación formativa</w:t>
            </w:r>
          </w:p>
        </w:tc>
      </w:tr>
      <w:tr>
        <w:trPr>
          <w:cantSplit/>
        </w:trPr>
        <w:tc>
          <w:tcPr>
            <w:tcW w:type="dxa" w:w="5046"/>
            <w:vAlign w:val="center"/>
          </w:tcPr>
          <w:p>
            <w:pPr>
              <w:keepNext/>
              <w:spacing w:after="0" w:before="0"/>
            </w:pPr>
            <w:r>
              <w:rPr>
                <w:rFonts w:ascii="Calibri" w:hAnsi="Calibri"/>
                <w:sz w:val="17"/>
              </w:rPr>
              <w:t>31</w:t>
            </w:r>
          </w:p>
        </w:tc>
        <w:tc>
          <w:tcPr>
            <w:tcW w:type="dxa" w:w="5046"/>
            <w:vAlign w:val="center"/>
          </w:tcPr>
          <w:p>
            <w:pPr>
              <w:keepNext/>
              <w:spacing w:after="0" w:before="0"/>
            </w:pPr>
            <w:r>
              <w:rPr>
                <w:rFonts w:ascii="Calibri" w:hAnsi="Calibri"/>
                <w:sz w:val="17"/>
              </w:rPr>
              <w:t>E · Actuar y registrar</w:t>
            </w:r>
          </w:p>
        </w:tc>
        <w:tc>
          <w:tcPr>
            <w:tcW w:type="dxa" w:w="5046"/>
            <w:vAlign w:val="center"/>
          </w:tcPr>
          <w:p>
            <w:pPr>
              <w:keepNext/>
              <w:spacing w:after="0" w:before="0"/>
            </w:pPr>
            <w:r>
              <w:rPr>
                <w:rFonts w:ascii="Calibri" w:hAnsi="Calibri"/>
                <w:sz w:val="17"/>
              </w:rPr>
              <w:t>Ficha 5 y observación formativa</w:t>
            </w:r>
          </w:p>
        </w:tc>
      </w:tr>
      <w:tr>
        <w:trPr>
          <w:cantSplit/>
        </w:trPr>
        <w:tc>
          <w:tcPr>
            <w:tcW w:type="dxa" w:w="5046"/>
            <w:vAlign w:val="center"/>
          </w:tcPr>
          <w:p>
            <w:pPr>
              <w:spacing w:after="0" w:before="0"/>
            </w:pPr>
            <w:r>
              <w:rPr>
                <w:rFonts w:ascii="Calibri" w:hAnsi="Calibri"/>
                <w:sz w:val="17"/>
              </w:rPr>
              <w:t>34</w:t>
            </w:r>
          </w:p>
        </w:tc>
        <w:tc>
          <w:tcPr>
            <w:tcW w:type="dxa" w:w="5046"/>
            <w:vAlign w:val="center"/>
          </w:tcPr>
          <w:p>
            <w:pPr>
              <w:spacing w:after="0" w:before="0"/>
            </w:pPr>
            <w:r>
              <w:rPr>
                <w:rFonts w:ascii="Calibri" w:hAnsi="Calibri"/>
                <w:sz w:val="17"/>
              </w:rPr>
              <w:t>F · Aprender de los resultados</w:t>
            </w:r>
          </w:p>
        </w:tc>
        <w:tc>
          <w:tcPr>
            <w:tcW w:type="dxa" w:w="5046"/>
            <w:vAlign w:val="center"/>
          </w:tcPr>
          <w:p>
            <w:pPr>
              <w:spacing w:after="0" w:before="0"/>
            </w:pPr>
            <w:r>
              <w:rPr>
                <w:rFonts w:ascii="Calibri" w:hAnsi="Calibri"/>
                <w:sz w:val="17"/>
              </w:rPr>
              <w:t>Ficha 6 y observación formativa</w:t>
            </w:r>
          </w:p>
        </w:tc>
      </w:tr>
    </w:tbl>
    <w:p>
      <w:pPr/>
      <w:r>
        <w:rPr>
          <w:sz w:val="19"/>
        </w:rPr>
        <w:t xml:space="preserve">Las seis fichas de profundización (A–F) permanecen en el tomo como material complementario opcional de apoyo y refuerzo de Orientación; en este plan no equivalen a seis horas o jornadas adicionales. Cuando la clase requiera intervención externa, aplazar hasta recibir permisos; en su lugar desarrollar simulación o estudio de caso.</w:t>
      </w:r>
    </w:p>
    <w:p>
      <w:pPr>
        <w:pStyle w:val="Heading2"/>
        <w:keepNext/>
      </w:pPr>
      <w:r>
        <w:t>Correspondencia de talleres y fichas</w:t>
      </w:r>
    </w:p>
    <w:tbl>
      <w:tblPr>
        <w:tblStyle w:val="TableGrid"/>
        <w:tblW w:type="auto" w:w="0"/>
        <w:tblLook w:firstColumn="1" w:firstRow="1" w:lastColumn="0" w:lastRow="0" w:noHBand="0" w:noVBand="1" w:val="04A0"/>
      </w:tblPr>
      <w:tblGrid>
        <w:gridCol w:w="5760"/>
        <w:gridCol w:w="5760"/>
        <w:gridCol w:w="5760"/>
      </w:tblGrid>
      <w:tr>
        <w:trPr>
          <w:cantSplit/>
        </w:trPr>
        <w:tc>
          <w:tcPr>
            <w:tcW w:type="dxa" w:w="5760"/>
          </w:tcPr>
          <w:p>
            <w:pPr>
              <w:keepNext/>
            </w:pPr>
            <w:r>
              <w:t>Encuentro</w:t>
            </w:r>
          </w:p>
        </w:tc>
        <w:tc>
          <w:tcPr>
            <w:tcW w:type="dxa" w:w="5760"/>
          </w:tcPr>
          <w:p>
            <w:pPr>
              <w:keepNext/>
            </w:pPr>
            <w:r>
              <w:t>Taller PEC</w:t>
            </w:r>
          </w:p>
        </w:tc>
        <w:tc>
          <w:tcPr>
            <w:tcW w:type="dxa" w:w="5760"/>
          </w:tcPr>
          <w:p>
            <w:pPr>
              <w:keepNext/>
            </w:pPr>
            <w:r>
              <w:t>Ficha del proyecto</w:t>
            </w:r>
          </w:p>
        </w:tc>
      </w:tr>
      <w:tr>
        <w:trPr>
          <w:cantSplit/>
        </w:trPr>
        <w:tc>
          <w:tcPr>
            <w:tcW w:type="dxa" w:w="5760"/>
          </w:tcPr>
          <w:p>
            <w:pPr>
              <w:keepNext/>
            </w:pPr>
            <w:r>
              <w:t>20</w:t>
            </w:r>
          </w:p>
        </w:tc>
        <w:tc>
          <w:tcPr>
            <w:tcW w:type="dxa" w:w="5760"/>
          </w:tcPr>
          <w:p>
            <w:pPr>
              <w:keepNext/>
            </w:pPr>
            <w:r>
              <w:t>PEC A: Mirar antes de actuar</w:t>
            </w:r>
          </w:p>
        </w:tc>
        <w:tc>
          <w:tcPr>
            <w:tcW w:type="dxa" w:w="5760"/>
          </w:tcPr>
          <w:p>
            <w:pPr>
              <w:keepNext/>
            </w:pPr>
            <w:r>
              <w:t>Ficha PEC 1</w:t>
            </w:r>
          </w:p>
        </w:tc>
      </w:tr>
      <w:tr>
        <w:trPr>
          <w:cantSplit/>
        </w:trPr>
        <w:tc>
          <w:tcPr>
            <w:tcW w:type="dxa" w:w="5760"/>
          </w:tcPr>
          <w:p>
            <w:pPr>
              <w:keepNext/>
            </w:pPr>
            <w:r>
              <w:t>22</w:t>
            </w:r>
          </w:p>
        </w:tc>
        <w:tc>
          <w:tcPr>
            <w:tcW w:type="dxa" w:w="5760"/>
          </w:tcPr>
          <w:p>
            <w:pPr>
              <w:keepNext/>
            </w:pPr>
            <w:r>
              <w:t>PEC B: Elegir con razones</w:t>
            </w:r>
          </w:p>
        </w:tc>
        <w:tc>
          <w:tcPr>
            <w:tcW w:type="dxa" w:w="5760"/>
          </w:tcPr>
          <w:p>
            <w:pPr>
              <w:keepNext/>
            </w:pPr>
            <w:r>
              <w:t>Ficha PEC 2</w:t>
            </w:r>
          </w:p>
        </w:tc>
      </w:tr>
      <w:tr>
        <w:trPr>
          <w:cantSplit/>
        </w:trPr>
        <w:tc>
          <w:tcPr>
            <w:tcW w:type="dxa" w:w="5760"/>
          </w:tcPr>
          <w:p>
            <w:pPr>
              <w:keepNext/>
            </w:pPr>
            <w:r>
              <w:t>26</w:t>
            </w:r>
          </w:p>
        </w:tc>
        <w:tc>
          <w:tcPr>
            <w:tcW w:type="dxa" w:w="5760"/>
          </w:tcPr>
          <w:p>
            <w:pPr>
              <w:keepNext/>
            </w:pPr>
            <w:r>
              <w:t>PEC C: Pasar de la idea al plan</w:t>
            </w:r>
          </w:p>
        </w:tc>
        <w:tc>
          <w:tcPr>
            <w:tcW w:type="dxa" w:w="5760"/>
          </w:tcPr>
          <w:p>
            <w:pPr>
              <w:keepNext/>
            </w:pPr>
            <w:r>
              <w:t>Ficha PEC 3</w:t>
            </w:r>
          </w:p>
        </w:tc>
      </w:tr>
      <w:tr>
        <w:trPr>
          <w:cantSplit/>
        </w:trPr>
        <w:tc>
          <w:tcPr>
            <w:tcW w:type="dxa" w:w="5760"/>
          </w:tcPr>
          <w:p>
            <w:pPr>
              <w:keepNext/>
            </w:pPr>
            <w:r>
              <w:t>28</w:t>
            </w:r>
          </w:p>
        </w:tc>
        <w:tc>
          <w:tcPr>
            <w:tcW w:type="dxa" w:w="5760"/>
          </w:tcPr>
          <w:p>
            <w:pPr>
              <w:keepNext/>
            </w:pPr>
            <w:r>
              <w:t>PEC D: Organizar para cumplir</w:t>
            </w:r>
          </w:p>
        </w:tc>
        <w:tc>
          <w:tcPr>
            <w:tcW w:type="dxa" w:w="5760"/>
          </w:tcPr>
          <w:p>
            <w:pPr>
              <w:keepNext/>
            </w:pPr>
            <w:r>
              <w:t>Ficha PEC 4</w:t>
            </w:r>
          </w:p>
        </w:tc>
      </w:tr>
      <w:tr>
        <w:trPr>
          <w:cantSplit/>
        </w:trPr>
        <w:tc>
          <w:tcPr>
            <w:tcW w:type="dxa" w:w="5760"/>
          </w:tcPr>
          <w:p>
            <w:pPr>
              <w:keepNext/>
            </w:pPr>
            <w:r>
              <w:t>31</w:t>
            </w:r>
          </w:p>
        </w:tc>
        <w:tc>
          <w:tcPr>
            <w:tcW w:type="dxa" w:w="5760"/>
          </w:tcPr>
          <w:p>
            <w:pPr>
              <w:keepNext/>
            </w:pPr>
            <w:r>
              <w:t>PEC E: Actuar y registrar</w:t>
            </w:r>
          </w:p>
        </w:tc>
        <w:tc>
          <w:tcPr>
            <w:tcW w:type="dxa" w:w="5760"/>
          </w:tcPr>
          <w:p>
            <w:pPr>
              <w:keepNext/>
            </w:pPr>
            <w:r>
              <w:t>Ficha PEC 5</w:t>
            </w:r>
          </w:p>
        </w:tc>
      </w:tr>
      <w:tr>
        <w:trPr>
          <w:cantSplit/>
        </w:trPr>
        <w:tc>
          <w:tcPr>
            <w:tcW w:type="dxa" w:w="5760"/>
          </w:tcPr>
          <w:p>
            <w:r>
              <w:t>34</w:t>
            </w:r>
          </w:p>
        </w:tc>
        <w:tc>
          <w:tcPr>
            <w:tcW w:type="dxa" w:w="5760"/>
          </w:tcPr>
          <w:p>
            <w:r>
              <w:t>PEC F: Aprender de los resultados</w:t>
            </w:r>
          </w:p>
        </w:tc>
        <w:tc>
          <w:tcPr>
            <w:tcW w:type="dxa" w:w="5760"/>
          </w:tcPr>
          <w:p>
            <w:r>
              <w:t>Ficha PEC 6</w:t>
            </w:r>
          </w:p>
        </w:tc>
      </w:tr>
    </w:tbl>
    <w:sectPr>
      <w:footerReference w:type="default" r:id="rId9"/>
      <w:pgSz w:w="18720" w:h="12240" w:orient="landscape"/>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