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58.xml" ContentType="application/vnd.openxmlformats-officedocument.wordprocessingml.footer+xml"/>
  <Override PartName="/word/header5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andeClase"/>
        <w:keepNext/>
        <w:widowControl/>
        <w:spacing w:before="0" w:after="40" w:line="240" w:lineRule="auto"/>
      </w:pPr>
      <w:r>
        <w:rPr>
          <w:sz w:val="30"/>
          <w:szCs w:val="30"/>
        </w:rPr>
        <w:t>Informe de revisión y control · Química 3.º · v3</w:t>
      </w:r>
    </w:p>
    <w:p>
      <w:pPr>
        <w:widowControl/>
        <w:spacing w:before="0" w:after="70" w:line="252" w:lineRule="auto"/>
      </w:pPr>
      <w:r>
        <w:rPr>
          <w:sz w:val="21"/>
          <w:szCs w:val="21"/>
        </w:rPr>
        <w:t>Plan Específico Ciencias Básicas y Tecnología · Año lectivo 2026 · Revisión del 21/10/2026</w:t>
      </w:r>
    </w:p>
    <w:p>
      <w:pPr>
        <w:widowControl/>
        <w:spacing w:before="0" w:after="70" w:line="252" w:lineRule="auto"/>
      </w:pPr>
      <w:r>
        <w:rPr>
          <w:sz w:val="21"/>
          <w:szCs w:val="21"/>
        </w:rPr>
        <w:t>Documentos base (v2, conservados sin cambios en la carpeta de Drive): Planes de clase v2 COMPACTO, Plan Anual v2, Matriz curricular v2 e Informe de control v2. Entregables: los tres documentos con sufijo v3_REVISADO y este informe.</w:t>
      </w:r>
    </w:p>
    <w:p>
      <w:pPr>
        <w:pStyle w:val="PlandeClase"/>
        <w:keepNext/>
        <w:widowControl/>
        <w:spacing w:before="120" w:after="60" w:line="240" w:lineRule="auto"/>
      </w:pPr>
      <w:r>
        <w:rPr>
          <w:sz w:val="25"/>
          <w:szCs w:val="25"/>
        </w:rPr>
        <w:t>1. Resultado en síntesis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Planes de clase: 36 planes en 36 páginas A4, uno por página (el plan N.º n ocupa la página n). Sin guías de aplicación, ejemplos resueltos, prácticas ni claves independientes.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Plan Anual: documento independiente de 9 páginas A4 horizontales (la v2 ocupaba 17). Tema, capacidades, indicadores, procedimientos e instrumentos coinciden textualmente con los 36 planes.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Matriz curricular: 3 páginas A4 horizontales; encuentros y evidencias por capacidad derivados de los planes.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Auditoría automática sobre los DOCX finales: 0 fallos (tiempos, subdivisiones, coherencia planes–anual–matriz, clase 36, anonimización y residuos). Los controles se probaron con una copia alterada a propósito y detectaron los defectos introducidos. Validación del esquema OOXML: aprobada en los tres documentos.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No se pudo consultar el programa oficial del MEC: la red del entorno bloqueó todas las fuentes (sección 7). Las verificaciones curriculares siguen pendientes y así se declara en cada documento.</w:t>
      </w:r>
    </w:p>
    <w:p>
      <w:pPr>
        <w:pStyle w:val="PlandeClase"/>
        <w:keepNext/>
        <w:widowControl/>
        <w:spacing w:before="200" w:after="60" w:line="240" w:lineRule="auto"/>
      </w:pPr>
      <w:r>
        <w:rPr>
          <w:sz w:val="25"/>
          <w:szCs w:val="25"/>
        </w:rPr>
        <w:t>2. Errores científicos y pedagógicos corregidos en los planes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737"/>
        <w:gridCol w:w="4309"/>
        <w:gridCol w:w="4592"/>
      </w:tblGrid>
      <w:tr>
        <w:trPr>
          <w:cantSplit/>
          <w:tblHeader/>
        </w:trPr>
        <w:tc>
          <w:tcPr>
            <w:tcW w:w="737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4309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Problema en v2</w:t>
            </w:r>
          </w:p>
        </w:tc>
        <w:tc>
          <w:tcPr>
            <w:tcW w:w="4592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Corrección en v3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Emisión beta menos de «³₂H»: núcleo inexistente (Z = 2 corresponde al helio).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Tritio, ³₁H (producto: ³₂He).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La errata del programa («Fusion») se presentaba a los estudiantes en el Inicio; «E = Δmc²»; el indicador de fusión no tenía ecuación propia.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Nota para el docente en el Desarrollo; ΔE = Δm·c²; se agregó la verificación de ²₁H + ³₁H → ⁴₂He + ¹₀n.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Tres indicadores genéricos para cuatro capacidades; ninguno remitía a C2 ni a C3–C4 por separado.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Cuatro indicadores, cada uno ligado a una tarea de la prueba (C1, C2, C3–C4 y autocorrección).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Indicador «Balancea conservando átomos y carga» sin tarea que evaluara carga; tres indicadores para C3–C6.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Un indicador y una tarea por capacidad (C3, C4, C5, C6).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35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Un indicador mezclaba nomenclatura (C8) y ecuación (C9); «(10 min)» duplicado en el texto; devolución individual prometida sin tiempo para corregir.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Cuatro indicadores (C7–C10); la devolución individual escrita pasa al Inicio de la clase 36.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36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Un indicador fusionaba C8 y C9; sin actividad para quienes no tenían pendientes.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Cuatro indicadores y cuatro tareas evaluables; transferencia con butanoato de metilo; C1–C6 explícitamente fuera.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Indicador vago («Explica una aplicación redox con evidencia química»).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«Explica la corrosión del hierro como proceso redox», con actividad asociada.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«Gráfico concentración tiempo»; expresión de velocidad solo literal.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«Concentración-tiempo»; v = −(1/a)·Δ[A]/Δt = (1/b)·Δ[B]/Δt.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Indicador «Integra geometría e hibridación…» sin actividad que lo evaluara.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«Selecciona el modelo adecuado…» con consigna sobre He₂ en la aplicación individual.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Indicador ambiguo «concentraciones de bases distintas» (puede leerse como bases químicas).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«Concentraciones expresadas sobre masa y sobre volumen».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25, 30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«Cloruro de etanoilo/propanoilo»; el indicador pedía cuatro estructuras y la consigna tenía tres.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«Etanoílo/propanoílo»; se agregó el ácido butanoico.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27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Confusión señalada solo entre sulfuro orgánico e ion sulfato.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Sulfuro orgánico, ion sulfuro (S²⁻) e ion sulfato (SO₄²⁻).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«Cuatro enlaces suelen requerir carga positiva».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Un N con cuatro enlaces y sin par libre lleva carga +1.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Nota curricular dirigida a los estudiantes en el Inicio; «polinucleados» solo carbocíclicos.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Interpretación declarada para el docente; se agrega la quinolina (polinuclear nitrogenado).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31, 32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Redundancia «catalizada por ácido… catalizador ácido»; oxidación de tiol sin coeficientes.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Doble flecha con H⁺; saponificación no reversible; 4 RSH + O₂ → 2 RSSR + 2 H₂O.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33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Oración incompleta («y simultáneamente el enlace C–Br hacia Br»).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Segunda flecha descrita completa: del enlace C–Br hacia el Br.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4, 13, 14</w:t>
            </w:r>
          </w:p>
        </w:tc>
        <w:tc>
          <w:tcPr>
            <w:tcW w:w="430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Excepciones y ángulos sin precisar.</w:t>
            </w:r>
          </w:p>
        </w:tc>
        <w:tc>
          <w:tcPr>
            <w:tcW w:w="4592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Peróxidos e hidruros; boro con seis electrones en BF₃; ángulos 109,5°, ≈107° y ≈104,5°.</w:t>
            </w:r>
          </w:p>
        </w:tc>
      </w:tr>
    </w:tbl>
    <w:p>
      <w:pPr>
        <w:widowControl/>
        <w:spacing w:before="0" w:after="0" w:line="80" w:lineRule="exact"/>
      </w:pPr>
      <w:r>
        <w:rPr>
          <w:sz w:val="4"/>
          <w:szCs w:val="4"/>
        </w:rPr>
      </w:r>
    </w:p>
    <w:p>
      <w:pPr>
        <w:widowControl/>
        <w:spacing w:before="0" w:after="70" w:line="252" w:lineRule="auto"/>
      </w:pPr>
      <w:r>
        <w:rPr>
          <w:sz w:val="21"/>
          <w:szCs w:val="21"/>
        </w:rPr>
        <w:t>Se verificaron con cálculo propio todos los datos numéricos de las consignas (estequiometría, semividas, velocidades, concentraciones, balances de masa y carga). Los resultados no se incluyen en los planes porque la consigna pedía no incorporar solucionarios; pueden entregarse en un documento docente aparte si se solicita.</w:t>
      </w:r>
    </w:p>
    <w:p>
      <w:pPr>
        <w:pStyle w:val="PlandeClase"/>
        <w:keepNext/>
        <w:widowControl/>
        <w:spacing w:before="200" w:after="60" w:line="240" w:lineRule="auto"/>
      </w:pPr>
      <w:r>
        <w:rPr>
          <w:sz w:val="25"/>
          <w:szCs w:val="25"/>
        </w:rPr>
        <w:t>3. Tiempos y viabilidad</w:t>
      </w:r>
    </w:p>
    <w:p>
      <w:pPr>
        <w:widowControl/>
        <w:spacing w:before="0" w:after="70" w:line="252" w:lineRule="auto"/>
      </w:pPr>
      <w:r>
        <w:rPr>
          <w:sz w:val="21"/>
          <w:szCs w:val="21"/>
        </w:rPr>
        <w:t>En v2 solo las clases 12, 16 y 35 tenían el Desarrollo subdividido. En v3 las 36 clases detallan cada actividad del Desarrollo con sus minutos y una fila «Total 80 min»; la auditoría lee esos valores del DOCX y confirma que suman en las 36 clases.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737"/>
        <w:gridCol w:w="3118"/>
        <w:gridCol w:w="3061"/>
        <w:gridCol w:w="2721"/>
      </w:tblGrid>
      <w:tr>
        <w:trPr>
          <w:cantSplit/>
          <w:tblHeader/>
        </w:trPr>
        <w:tc>
          <w:tcPr>
            <w:tcW w:w="737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3118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v2</w:t>
            </w:r>
          </w:p>
        </w:tc>
        <w:tc>
          <w:tcPr>
            <w:tcW w:w="3061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v3</w:t>
            </w:r>
          </w:p>
        </w:tc>
        <w:tc>
          <w:tcPr>
            <w:tcW w:w="2721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Motivo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11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15 + 50 (35 + 10 + 5) + 15</w:t>
            </w:r>
          </w:p>
        </w:tc>
        <w:tc>
          <w:tcPr>
            <w:tcW w:w="3061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10 + 60 (40 + 10 + 10) + 10</w:t>
            </w:r>
          </w:p>
        </w:tc>
        <w:tc>
          <w:tcPr>
            <w:tcW w:w="2721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Cuatro tareas en 35 min y devolución por indicador en el mismo Cierre no eran viables.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311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15 + 50 (35 + 10 + 5) + 15; 5 min para entrevistar «dos o tres estudiantes por grupo»</w:t>
            </w:r>
          </w:p>
        </w:tc>
        <w:tc>
          <w:tcPr>
            <w:tcW w:w="3061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10 + 60 (40 + 10 + 10) + 10; entrevistas a 3–4 estudiantes mientras el grupo se autoevalúa</w:t>
            </w:r>
          </w:p>
        </w:tc>
        <w:tc>
          <w:tcPr>
            <w:tcW w:w="2721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Tiempo de prueba suficiente; devolución individual en la clase 17.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35</w:t>
            </w:r>
          </w:p>
        </w:tc>
        <w:tc>
          <w:tcPr>
            <w:tcW w:w="311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10 + 60 (40 + 10 + 10) + 10, con devolución individual en el Cierre</w:t>
            </w:r>
          </w:p>
        </w:tc>
        <w:tc>
          <w:tcPr>
            <w:tcW w:w="3061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Misma distribución; devolución individual al inicio de la clase 36</w:t>
            </w:r>
          </w:p>
        </w:tc>
        <w:tc>
          <w:tcPr>
            <w:tcW w:w="2721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No se puede corregir y devolver por escrito en 10 min.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311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Circuito de cuatro estaciones sin tiempo asignado</w:t>
            </w:r>
          </w:p>
        </w:tc>
        <w:tc>
          <w:tcPr>
            <w:tcW w:w="3061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15 + 50 (12 + 24 + 14) + 15</w:t>
            </w:r>
          </w:p>
        </w:tc>
        <w:tc>
          <w:tcPr>
            <w:tcW w:w="2721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Seis minutos por estación.</w:t>
            </w:r>
          </w:p>
        </w:tc>
      </w:tr>
      <w:tr>
        <w:trPr>
          <w:cantSplit/>
        </w:trPr>
        <w:tc>
          <w:tcPr>
            <w:tcW w:w="737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36</w:t>
            </w:r>
          </w:p>
        </w:tc>
        <w:tc>
          <w:tcPr>
            <w:tcW w:w="311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15 + 50 + 15 para tres tareas, comparación y registro</w:t>
            </w:r>
          </w:p>
        </w:tc>
        <w:tc>
          <w:tcPr>
            <w:tcW w:w="3061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10 + 60 (15 + 20 + 15 + 10) + 10</w:t>
            </w:r>
          </w:p>
        </w:tc>
        <w:tc>
          <w:tcPr>
            <w:tcW w:w="2721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Tiempo explícito por capacidad.</w:t>
            </w:r>
          </w:p>
        </w:tc>
      </w:tr>
    </w:tbl>
    <w:p>
      <w:pPr>
        <w:widowControl/>
        <w:spacing w:before="0" w:after="0" w:line="80" w:lineRule="exact"/>
      </w:pPr>
      <w:r>
        <w:rPr>
          <w:sz w:val="4"/>
          <w:szCs w:val="4"/>
        </w:rPr>
      </w:r>
    </w:p>
    <w:p>
      <w:pPr>
        <w:widowControl/>
        <w:spacing w:before="0" w:after="70" w:line="252" w:lineRule="auto"/>
      </w:pPr>
      <w:r>
        <w:rPr>
          <w:sz w:val="21"/>
          <w:szCs w:val="21"/>
        </w:rPr>
        <w:t>Las clases 13 y 17 reservan 5 minutos del Inicio para entregar la devolución de las evaluaciones 12 y 16.</w:t>
      </w:r>
    </w:p>
    <w:p>
      <w:pPr>
        <w:pStyle w:val="PlandeClase"/>
        <w:keepNext/>
        <w:widowControl/>
        <w:spacing w:before="200" w:after="60" w:line="240" w:lineRule="auto"/>
      </w:pPr>
      <w:r>
        <w:rPr>
          <w:sz w:val="25"/>
          <w:szCs w:val="25"/>
        </w:rPr>
        <w:t>4. Clase 36: capacidad declarada y evidencia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850"/>
        <w:gridCol w:w="3969"/>
        <w:gridCol w:w="4819"/>
      </w:tblGrid>
      <w:tr>
        <w:trPr>
          <w:cantSplit/>
          <w:tblHeader/>
        </w:trPr>
        <w:tc>
          <w:tcPr>
            <w:tcW w:w="85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Cap.</w:t>
            </w:r>
          </w:p>
        </w:tc>
        <w:tc>
          <w:tcPr>
            <w:tcW w:w="3969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4819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Evidencia concreta y evaluable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C7</w:t>
            </w:r>
          </w:p>
        </w:tc>
        <w:tc>
          <w:tcPr>
            <w:tcW w:w="396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Calcula el volumen de alícuota de una dilución con sus unidades.</w:t>
            </w:r>
          </w:p>
        </w:tc>
        <w:tc>
          <w:tcPr>
            <w:tcW w:w="481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Cálculo: 100 mL a 0,0800 mol/L desde 0,400 mol/L.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C8</w:t>
            </w:r>
          </w:p>
        </w:tc>
        <w:tc>
          <w:tcPr>
            <w:tcW w:w="396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Nombra un éster y los productos de su hidrólisis básica.</w:t>
            </w:r>
          </w:p>
        </w:tc>
        <w:tc>
          <w:tcPr>
            <w:tcW w:w="481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Nombre de CH₃CH₂COOCH₂CH₃ y de sus productos.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C9</w:t>
            </w:r>
          </w:p>
        </w:tc>
        <w:tc>
          <w:tcPr>
            <w:tcW w:w="396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Escribe la ecuación de hidrólisis básica conservando átomos y carga.</w:t>
            </w:r>
          </w:p>
        </w:tc>
        <w:tc>
          <w:tcPr>
            <w:tcW w:w="481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Ecuación balanceada con NaOH.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C10</w:t>
            </w:r>
          </w:p>
        </w:tc>
        <w:tc>
          <w:tcPr>
            <w:tcW w:w="396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Representa con flechas el ataque nucleofílico al carbonilo y la carga del intermedio.</w:t>
            </w:r>
          </w:p>
        </w:tc>
        <w:tc>
          <w:tcPr>
            <w:tcW w:w="4819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Mecanismo dibujado con flechas y carga.</w:t>
            </w:r>
          </w:p>
        </w:tc>
      </w:tr>
    </w:tbl>
    <w:p>
      <w:pPr>
        <w:widowControl/>
        <w:spacing w:before="0" w:after="0" w:line="80" w:lineRule="exact"/>
      </w:pPr>
      <w:r>
        <w:rPr>
          <w:sz w:val="4"/>
          <w:szCs w:val="4"/>
        </w:rPr>
      </w:r>
    </w:p>
    <w:p>
      <w:pPr>
        <w:widowControl/>
        <w:spacing w:before="0" w:after="70" w:line="252" w:lineRule="auto"/>
      </w:pPr>
      <w:r>
        <w:rPr>
          <w:sz w:val="21"/>
          <w:szCs w:val="21"/>
        </w:rPr>
        <w:t>C1–C6 no se atribuyen a la clase 36: sus evidencias están en las clases 1–18 (valoradas en las clases 12 y 16).</w:t>
      </w:r>
    </w:p>
    <w:p>
      <w:pPr>
        <w:pStyle w:val="PlandeClase"/>
        <w:keepNext/>
        <w:widowControl/>
        <w:spacing w:before="200" w:after="60" w:line="240" w:lineRule="auto"/>
      </w:pPr>
      <w:r>
        <w:rPr>
          <w:sz w:val="25"/>
          <w:szCs w:val="25"/>
        </w:rPr>
        <w:t>5. Diseño y estructura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Se conserva la identidad visual de la plantilla v2 (Calibri, morados 4A148C/6A1B9A/F3E5F5, bordes grises, A4). El Plan Anual y la matriz, que usaban Arial y encabezados marrones, se unificaron con esa identidad.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Contraste: la banda «EVALUACIÓN» tenía texto negro sobre 4A148C (1,8:1, ilegible al imprimir); ahora es blanco (11,9:1). Rótulos blancos sobre 6A1B9A: 9,4:1.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Cada plan conserva identificación (docente, institución, sección y fecha en blanco), capacidad con su código, indicadores, Inicio/Desarrollo/Cierre con tiempos y total, recursos, procedimientos e instrumentos, observaciones y firmas.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Evaluación sin repeticiones: la v2 repetía el instrumento «Lista de cotejo y producción individual» en 27 planes y empezaba los 36 procedimientos con «Revisión individual…»; el Plan Anual repetía el mismo procedimiento en 34 filas. En v3 cada clase nombra su procedimiento y los criterios de su instrumento; que los indicadores son los criterios se declara una sola vez, en el Plan Anual.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Tipografía: cuerpo de 11 pt (v2: 10,5 pt), márgenes laterales de 2 cm, superior de 1,6 cm e inferior de 1,4 cm. Exponentes y subíndices con caracteres o formato de Word, sin el símbolo «^».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Paginación: título con «Conservar con el siguiente» y salto de página anterior; tablas con rejilla real (tblGrid + layout fijo) y sin propiedades duplicadas; filas cortas no divisibles y fila Desarrollo divisible; encabezado de MOMENTOS repetible; control de viudas y huérfanas activo.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Pie con campos reales «Página X de Y» y nombre del documento; se eliminaron 112 partes de encabezado y pie sin uso heredadas (de 116, solo 4 estaban referenciadas). Idioma de revisión: español.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Plan Anual: tabla de 7 columnas con anchos proporcionales (26,7 cm útiles) en lugar de 7 columnas iguales; bandas de etapa y de unidad, encabezado repetido y filas que no se cortan. Matriz: evidencias completas por clase (la v2 listaba solo los títulos de las tres primeras clases de cada capacidad).</w:t>
      </w:r>
    </w:p>
    <w:p>
      <w:pPr>
        <w:pStyle w:val="PlandeClase"/>
        <w:keepNext/>
        <w:widowControl/>
        <w:spacing w:before="200" w:after="60" w:line="240" w:lineRule="auto"/>
      </w:pPr>
      <w:r>
        <w:rPr>
          <w:sz w:val="25"/>
          <w:szCs w:val="25"/>
        </w:rPr>
        <w:t>6. Anonimización</w:t>
      </w:r>
    </w:p>
    <w:p>
      <w:pPr>
        <w:widowControl/>
        <w:spacing w:before="0" w:after="70" w:line="252" w:lineRule="auto"/>
      </w:pPr>
      <w:r>
        <w:rPr>
          <w:sz w:val="21"/>
          <w:szCs w:val="21"/>
        </w:rPr>
        <w:t>En los tres documentos y en este informe no hay nombres personales ni referencias a la institución de origen en cuerpo, encabezados, pies ni propiedades. No hay comentarios ni cambios controlados. Autor, último editor, empresa y administrador están vacíos y no hay propiedades personalizadas. Docente, institución, sección, turno y fecha quedan como campos en blanco. Se conservan los términos científicos (estructuras de Lewis, nomenclatura de Stock).</w:t>
      </w:r>
    </w:p>
    <w:p>
      <w:pPr>
        <w:pStyle w:val="PlandeClase"/>
        <w:keepNext/>
        <w:widowControl/>
        <w:spacing w:before="200" w:after="60" w:line="240" w:lineRule="auto"/>
      </w:pPr>
      <w:r>
        <w:rPr>
          <w:sz w:val="25"/>
          <w:szCs w:val="25"/>
        </w:rPr>
        <w:t>7. Fuentes consultadas y alcance curricular</w:t>
      </w:r>
    </w:p>
    <w:p>
      <w:pPr>
        <w:widowControl/>
        <w:spacing w:before="0" w:after="70" w:line="252" w:lineRule="auto"/>
      </w:pPr>
      <w:r>
        <w:rPr>
          <w:b/>
          <w:sz w:val="21"/>
          <w:szCs w:val="21"/>
        </w:rPr>
        <w:t xml:space="preserve">Fuentes oficiales efectivamente consultadas: ninguna. </w:t>
      </w:r>
      <w:r>
        <w:rPr>
          <w:sz w:val="21"/>
          <w:szCs w:val="21"/>
        </w:rPr>
        <w:t>No se pudo abrir el programa del MEC ni ninguna resolución. La política de red del entorno bloqueó los dominios informacionpublica.paraguay.gov.py, dspacereva.conacyt.gov.py, siteal.iiep.unesco.org, scribd.com y academia.edu. Las búsquedas en Drive (por título y por frases de las capacidades) no encontraron una copia del programa de este Plan Específico.</w:t>
      </w:r>
    </w:p>
    <w:p>
      <w:pPr>
        <w:widowControl/>
        <w:spacing w:before="0" w:after="70" w:line="252" w:lineRule="auto"/>
      </w:pPr>
      <w:r>
        <w:rPr>
          <w:b/>
          <w:sz w:val="21"/>
          <w:szCs w:val="21"/>
        </w:rPr>
        <w:t xml:space="preserve">Pistas obtenidas solo de listados del buscador (sin abrir los documentos): </w:t>
      </w:r>
      <w:r>
        <w:rPr>
          <w:sz w:val="21"/>
          <w:szCs w:val="21"/>
        </w:rPr>
        <w:t>un PDF titulado «enfasiscienciasbasicasytecnologia.pdf» en el repositorio del CONACYT (dspacereva.conacyt.gov.py/jspui-repo/bitstream/123456789/133/1/), probablemente el programa buscado; y notas de prensa que atribuyen a la Resolución MEC N.º 2065/2025 el calendario 2026 (23/02 al 30/11; receso del 13 al 24 de julio). Ninguno de estos datos se presenta como verificado.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>
        <w:trPr>
          <w:cantSplit/>
          <w:tblHeader/>
        </w:trPr>
        <w:tc>
          <w:tcPr>
            <w:tcW w:w="2381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257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0"/>
                <w:szCs w:val="20"/>
              </w:rPr>
              <w:t>Contenido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Comprobado en fuente oficial</w:t>
            </w:r>
          </w:p>
        </w:tc>
        <w:tc>
          <w:tcPr>
            <w:tcW w:w="7257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Nada en esta revisión.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Comprobado internamente</w:t>
            </w:r>
          </w:p>
        </w:tc>
        <w:tc>
          <w:tcPr>
            <w:tcW w:w="7257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Corrección química y numérica de las consignas; sumas de tiempos; coherencia textual planes–anual–matriz; anonimización; validez OOXML.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Decisión didáctica</w:t>
            </w:r>
          </w:p>
        </w:tc>
        <w:tc>
          <w:tcPr>
            <w:tcW w:w="7257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2 HC por encuentro con HC de 40 min; 36 encuentros y su reparto mensual; secuencia de unidades; momentos de evaluación (1, 12, 16, 24, 35, 36); interpretación de «Fusion» (I3) y de «bases cuaternarias y polinucleados» (I5).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Pendiente de verificación</w:t>
            </w:r>
          </w:p>
        </w:tc>
        <w:tc>
          <w:tcPr>
            <w:tcW w:w="7257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Texto y páginas de las capacidades; malla de la p. 20 y carga horaria; duración de la hora cátedra; vigencia del programa de 2014; texto de la Resolución 2065/2025; incidencias I1–I8 de la matriz.</w:t>
            </w:r>
          </w:p>
        </w:tc>
      </w:tr>
    </w:tbl>
    <w:p>
      <w:pPr>
        <w:widowControl/>
        <w:spacing w:before="0" w:after="0" w:line="80" w:lineRule="exact"/>
      </w:pPr>
      <w:r>
        <w:rPr>
          <w:sz w:val="4"/>
          <w:szCs w:val="4"/>
        </w:rPr>
      </w:r>
    </w:p>
    <w:p>
      <w:pPr>
        <w:pStyle w:val="PlandeClase"/>
        <w:keepNext/>
        <w:widowControl/>
        <w:spacing w:before="200" w:after="60" w:line="240" w:lineRule="auto"/>
      </w:pPr>
      <w:r>
        <w:rPr>
          <w:sz w:val="25"/>
          <w:szCs w:val="25"/>
        </w:rPr>
        <w:t>8. Control visual: alcance real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Render completo de los cuatro documentos con LibreOffice 24.2 a PDF y a imágenes. Calibri se sustituyó por Carlito, que tiene las mismas métricas: la paginación debería coincidir con Word, pero no se verificó en Microsoft Word.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Planes: las 36 páginas se revisaron una por una, de a dos por imagen. En esa revisión se corrigieron la línea de observaciones que se partía, el exponente de la clase 9 y el nombre de la unidad 8, que ocupaba dos renglones. Después de esos cambios se volvió a renderizar y a revisar la serie completa. Llenado medido: entre 66 % y 89 % de la altura de página; ninguna clase pasa a una segunda página.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Plan Anual: 9 páginas revisadas. Se corrigieron una página casi vacía, el encabezado «OBSERVACIONES» partido, «Septiembre» y «Noviembre» cortados en la columna TIEMPO y la bibliografía dividida entre dos páginas.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Matriz: 3 páginas revisadas. Se corrigieron la fila I8 aislada y una última página con un solo bloque.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Informe: todas sus páginas revisadas tras el render final.</w:t>
      </w:r>
    </w:p>
    <w:p>
      <w:pPr>
        <w:pStyle w:val="PlandeClase"/>
        <w:keepNext/>
        <w:widowControl/>
        <w:spacing w:before="200" w:after="60" w:line="240" w:lineRule="auto"/>
      </w:pPr>
      <w:r>
        <w:rPr>
          <w:sz w:val="25"/>
          <w:szCs w:val="25"/>
        </w:rPr>
        <w:t>9. Incidencias pendientes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Cotejar capacidades, contenidos y páginas con el PDF oficial (sugerido: descargar el archivo del repositorio del CONACYT y subirlo a la carpeta para una revisión posterior).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Confirmar la carga semanal de Química específica (malla de la p. 20) y la duración de la hora cátedra en la institución; si difieren, reajustar los minutos de cada momento.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Confirmar el calendario 2026 con el texto de la Resolución 2065/2025 y ajustar los meses al día de clase y a los feriados.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Validar con el departamento de Ciencias la interpretación de «bases cuaternarias y polinucleados en combinaciones» (clase 29).</w:t>
      </w:r>
    </w:p>
    <w:p>
      <w:pPr>
        <w:widowControl/>
        <w:spacing w:before="0" w:after="40" w:line="252" w:lineRule="auto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>Abrir los DOCX en Microsoft Word y comprobar que cada plan siga ocupando una página (actualizar campos con F9 si el pie muestra «Página 1 de 1»).</w:t>
      </w:r>
    </w:p>
    <w:p>
      <w:pPr>
        <w:widowControl/>
        <w:spacing w:before="0" w:after="0" w:line="200" w:lineRule="exact"/>
      </w:pPr>
      <w:r>
        <w:rPr>
          <w:sz w:val="4"/>
          <w:szCs w:val="4"/>
        </w:rPr>
      </w:r>
    </w:p>
    <w:p>
      <w:pPr>
        <w:keepLines/>
        <w:widowControl/>
        <w:spacing w:before="0" w:after="0" w:line="240" w:lineRule="auto"/>
      </w:pPr>
      <w:r>
        <w:rPr>
          <w:sz w:val="21"/>
          <w:szCs w:val="21"/>
        </w:rPr>
        <w:t>Revisión independiente: ______________________     Fecha: ____ / ____ / 2026</w:t>
      </w:r>
    </w:p>
    <w:sectPr>
      <w:footerReference w:type="default" r:id="rId122"/>
      <w:headerReference w:type="default" r:id="rId124"/>
      <w:pgSz w:w="11906" w:h="16838"/>
      <w:pgMar w:top="907" w:right="1134" w:bottom="794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  <w:szCs w:val="17"/>
      </w:rPr>
      <w:t xml:space="preserve">Química 3.º · Plan Específico CBT · Informe de revisión v3  ·  </w:t>
    </w:r>
    <w:r>
      <w:rPr>
        <w:color w:val="595959"/>
        <w:sz w:val="17"/>
        <w:szCs w:val="17"/>
      </w:rPr>
      <w:t xml:space="preserve">Página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 xml:space="preserve"> PAGE </w:instrText>
    </w:r>
    <w:r>
      <w:rPr>
        <w:color w:val="595959"/>
        <w:sz w:val="17"/>
        <w:szCs w:val="17"/>
      </w:rPr>
      <w:fldChar w:fldCharType="separate"/>
    </w:r>
    <w:r>
      <w:rPr>
        <w:color w:val="595959"/>
        <w:sz w:val="17"/>
        <w:szCs w:val="17"/>
      </w:rPr>
      <w:t xml:space="preserve"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de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 xml:space="preserve"> NUMPAGES </w:instrText>
    </w:r>
    <w:r>
      <w:rPr>
        <w:color w:val="595959"/>
        <w:sz w:val="17"/>
        <w:szCs w:val="17"/>
      </w:rPr>
      <w:fldChar w:fldCharType="separate"/>
    </w:r>
    <w:r>
      <w:rPr>
        <w:color w:val="595959"/>
        <w:sz w:val="17"/>
        <w:szCs w:val="17"/>
      </w:rPr>
      <w:t xml:space="preserve">1</w:t>
    </w:r>
    <w:r>
      <w:rPr>
        <w:color w:val="595959"/>
        <w:sz w:val="17"/>
        <w:szCs w:val="17"/>
      </w:rPr>
      <w:fldChar w:fldCharType="end"/>
    </w:r>
  </w:p>
</w:ft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4A148C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22" Type="http://schemas.openxmlformats.org/officeDocument/2006/relationships/footer" Target="footer58.xml"/><Relationship Id="rId124" Type="http://schemas.openxmlformats.org/officeDocument/2006/relationships/header" Target="header5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2026-10-21T12:00:00Z</dcterms:created>
  <dcterms:modified xsi:type="dcterms:W3CDTF">2026-10-21T12:00:00Z</dcterms:modified>
  <cp:category/>
</cp:coreProperties>
</file>