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andeClase"/>
        <w:keepNext/>
        <w:widowControl/>
        <w:spacing w:before="0" w:after="40" w:line="240" w:lineRule="auto"/>
        <w:jc w:val="center"/>
      </w:pPr>
      <w:r>
        <w:rPr>
          <w:sz w:val="30"/>
          <w:szCs w:val="30"/>
        </w:rPr>
        <w:t>MATRIZ DE CAPACIDADES Y COBERTURA CURRICULAR</w:t>
      </w:r>
    </w:p>
    <w:p>
      <w:pPr>
        <w:keepNext/>
        <w:widowControl/>
        <w:spacing w:before="0" w:after="100" w:line="240" w:lineRule="auto"/>
        <w:jc w:val="center"/>
      </w:pPr>
      <w:r>
        <w:rPr>
          <w:sz w:val="22"/>
          <w:szCs w:val="22"/>
        </w:rPr>
        <w:t>Química · 3.er curso · Plan Específico: Ciencias Básicas y Tecnología · 2026</w:t>
      </w:r>
    </w:p>
    <w:p>
      <w:pPr>
        <w:widowControl/>
        <w:spacing w:before="0" w:after="60" w:line="252" w:lineRule="auto"/>
      </w:pPr>
      <w:r>
        <w:rPr>
          <w:sz w:val="20"/>
          <w:szCs w:val="20"/>
        </w:rPr>
        <w:t>Las capacidades y los contenidos se transcriben de la copia pública del programa utilizada en las versiones anteriores (páginas impresas 27–28); no se cambian verbos ni alcance. El cotejo con el PDF oficial sigue pendiente. «Encuentros» y «Evidencias» describen la cobertura planificada en los planes de clase v3, no aprendizajes ya logrados. Las incidencias I1–I8 se detallan al final.</w:t>
      </w:r>
    </w:p>
    <w:tbl>
      <w:tblPr>
        <w:tblW w:w="1513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005"/>
        <w:gridCol w:w="3288"/>
        <w:gridCol w:w="1304"/>
        <w:gridCol w:w="5386"/>
        <w:gridCol w:w="2154"/>
      </w:tblGrid>
      <w:tr>
        <w:trPr>
          <w:cantSplit/>
          <w:tblHeader/>
        </w:trPr>
        <w:tc>
          <w:tcPr>
            <w:tcW w:w="3005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3288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CONTENIDOS (transcripción)</w:t>
            </w:r>
          </w:p>
        </w:tc>
        <w:tc>
          <w:tcPr>
            <w:tcW w:w="130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ENCUENTROS</w:t>
            </w:r>
          </w:p>
        </w:tc>
        <w:tc>
          <w:tcPr>
            <w:tcW w:w="5386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EVIDENCIAS EVALUABLES PLANIFICADAS</w:t>
            </w:r>
          </w:p>
        </w:tc>
        <w:tc>
          <w:tcPr>
            <w:tcW w:w="215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>ESTADO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C1 · p. 27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Analiza las formas de energía nuclear y radiactiva.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Energía nuclear. Fusion nuclear. Bomba atómica. Reactores nucleares. Fusión nuclear. Bomba de hidrógeno. Radiactividad. Clases. Efectos biológicos de la radiación.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7, 8, 9, 12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7: </w:t>
            </w:r>
            <w:r>
              <w:rPr>
                <w:sz w:val="20"/>
                <w:szCs w:val="20"/>
              </w:rPr>
              <w:t>ecuaciones nucleares alfa y beta con A y Z conservados.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8: </w:t>
            </w:r>
            <w:r>
              <w:rPr>
                <w:sz w:val="20"/>
                <w:szCs w:val="20"/>
              </w:rPr>
              <w:t>tabla fisión/fusión y ecuación verificada.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9: </w:t>
            </w:r>
            <w:r>
              <w:rPr>
                <w:sz w:val="20"/>
                <w:szCs w:val="20"/>
              </w:rPr>
              <w:t>cálculo de semividas y clasificación de exposiciones.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12: </w:t>
            </w:r>
            <w:r>
              <w:rPr>
                <w:sz w:val="20"/>
                <w:szCs w:val="20"/>
              </w:rPr>
              <w:t>tarea 4 de la prueba (semividas; fisión/fusión).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Ver incidencia I3.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C2 · p. 27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Resuelve problemas referidos a la velocidad de reacción.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Velocidad de reacción. Factores que afectan la velocidad de reacción.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10, 11, 12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10: </w:t>
            </w:r>
            <w:r>
              <w:rPr>
                <w:sz w:val="20"/>
                <w:szCs w:val="20"/>
              </w:rPr>
              <w:t>gráfico concentración-tiempo y velocidades por intervalo.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11: </w:t>
            </w:r>
            <w:r>
              <w:rPr>
                <w:sz w:val="20"/>
                <w:szCs w:val="20"/>
              </w:rPr>
              <w:t>diseño con variables controladas e interpretación de datos.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12: </w:t>
            </w:r>
            <w:r>
              <w:rPr>
                <w:sz w:val="20"/>
                <w:szCs w:val="20"/>
              </w:rPr>
              <w:t>tarea 3 de la prueba (velocidad media).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C3 · p. 27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Utiliza en situaciones problemáticas la notación, nomenclatura y balanceo de las reacciones químicas.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Sin desglose adicional en el listado.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1, 2, 3, 5, 6, 12, 16, 24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1: </w:t>
            </w:r>
            <w:r>
              <w:rPr>
                <w:sz w:val="20"/>
                <w:szCs w:val="20"/>
              </w:rPr>
              <w:t>ecuaciones balanceadas por tanteo y corrección del diagnóstico.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2: </w:t>
            </w:r>
            <w:r>
              <w:rPr>
                <w:sz w:val="20"/>
                <w:szCs w:val="20"/>
              </w:rPr>
              <w:t>fórmulas neutras y nombres de Stock.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3: </w:t>
            </w:r>
            <w:r>
              <w:rPr>
                <w:sz w:val="20"/>
                <w:szCs w:val="20"/>
              </w:rPr>
              <w:t>combustión balanceada y cálculo de masa con unidades.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5: </w:t>
            </w:r>
            <w:r>
              <w:rPr>
                <w:sz w:val="20"/>
                <w:szCs w:val="20"/>
              </w:rPr>
              <w:t>ecuación iónica global balanceada en masa y carga.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6: </w:t>
            </w:r>
            <w:r>
              <w:rPr>
                <w:sz w:val="20"/>
                <w:szCs w:val="20"/>
              </w:rPr>
              <w:t>comprobación de masa y carga de la ecuación.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12: </w:t>
            </w:r>
            <w:r>
              <w:rPr>
                <w:sz w:val="20"/>
                <w:szCs w:val="20"/>
              </w:rPr>
              <w:t>tarea 1 de la prueba (balanceo).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16: </w:t>
            </w:r>
            <w:r>
              <w:rPr>
                <w:sz w:val="20"/>
                <w:szCs w:val="20"/>
              </w:rPr>
              <w:t>tarea 3 de la prueba (balanceo).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24: </w:t>
            </w:r>
            <w:r>
              <w:rPr>
                <w:sz w:val="20"/>
                <w:szCs w:val="20"/>
              </w:rPr>
              <w:t>ecuación de neutralización como base del equivalente.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C4 · p. 27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Utiliza la notación y nomenclatura de las reacciones redox en ecuaciones químicas.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Sin desglose adicional en el listado.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4, 5, 6, 12, 16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4: </w:t>
            </w:r>
            <w:r>
              <w:rPr>
                <w:sz w:val="20"/>
                <w:szCs w:val="20"/>
              </w:rPr>
              <w:t>números de oxidación y agentes justificados.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5: </w:t>
            </w:r>
            <w:r>
              <w:rPr>
                <w:sz w:val="20"/>
                <w:szCs w:val="20"/>
              </w:rPr>
              <w:t>semirreacciones e igualación de electrones.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6: </w:t>
            </w:r>
            <w:r>
              <w:rPr>
                <w:sz w:val="20"/>
                <w:szCs w:val="20"/>
              </w:rPr>
              <w:t>balance en medio básico y explicación de la corrosión.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12: </w:t>
            </w:r>
            <w:r>
              <w:rPr>
                <w:sz w:val="20"/>
                <w:szCs w:val="20"/>
              </w:rPr>
              <w:t>tarea 2 de la prueba (agentes redox).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16: </w:t>
            </w:r>
            <w:r>
              <w:rPr>
                <w:sz w:val="20"/>
                <w:szCs w:val="20"/>
              </w:rPr>
              <w:t>tarea 4 de la prueba (agentes y números de oxidación).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C5 · p. 27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Analiza la geometría molecular de los enlaces químicos.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Geometría molecular: moléculas lineales, trigonal plana, tetraédricas, piramidales, angulares, octaédricas, enlaces dobles, enlaces triples. Orbitales moleculares, Sigma y Pi (π).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13, 14, 15, 16, 17, 18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13: </w:t>
            </w:r>
            <w:r>
              <w:rPr>
                <w:sz w:val="20"/>
                <w:szCs w:val="20"/>
              </w:rPr>
              <w:t>estructuras de Lewis y geometrías de HCN y CH₂O.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14: </w:t>
            </w:r>
            <w:r>
              <w:rPr>
                <w:sz w:val="20"/>
                <w:szCs w:val="20"/>
              </w:rPr>
              <w:t>modelos AX₄, AX₃E y AX₂E₂ y predicción de polaridad.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15: </w:t>
            </w:r>
            <w:r>
              <w:rPr>
                <w:sz w:val="20"/>
                <w:szCs w:val="20"/>
              </w:rPr>
              <w:t>geometría octaédrica (AX₆).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16: </w:t>
            </w:r>
            <w:r>
              <w:rPr>
                <w:sz w:val="20"/>
                <w:szCs w:val="20"/>
              </w:rPr>
              <w:t>tarea 1 de la prueba (Lewis y geometría).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17: </w:t>
            </w:r>
            <w:r>
              <w:rPr>
                <w:sz w:val="20"/>
                <w:szCs w:val="20"/>
              </w:rPr>
              <w:t>geometría local de cada carbono.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18: </w:t>
            </w:r>
            <w:r>
              <w:rPr>
                <w:sz w:val="20"/>
                <w:szCs w:val="20"/>
              </w:rPr>
              <w:t>orbitales moleculares sigma y elección de modelo.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C6 · p. 27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Resuelve problemas referidos a hibridación de orbitales.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Atómicos y moleculares (el desglose figura en la p. 28).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15, 16, 17, 18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15: </w:t>
            </w:r>
            <w:r>
              <w:rPr>
                <w:sz w:val="20"/>
                <w:szCs w:val="20"/>
              </w:rPr>
              <w:t>hibridación de los carbonos de eteno y etino.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16: </w:t>
            </w:r>
            <w:r>
              <w:rPr>
                <w:sz w:val="20"/>
                <w:szCs w:val="20"/>
              </w:rPr>
              <w:t>tarea 2 de la prueba (hibridación en HCN).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17: </w:t>
            </w:r>
            <w:r>
              <w:rPr>
                <w:sz w:val="20"/>
                <w:szCs w:val="20"/>
              </w:rPr>
              <w:t>conteo sigma/pi e hibridación en CH₂=CH–CH₃.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18: </w:t>
            </w:r>
            <w:r>
              <w:rPr>
                <w:sz w:val="20"/>
                <w:szCs w:val="20"/>
              </w:rPr>
              <w:t>distinción orbital híbrido/molecular.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Ver incidencia I4.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C7 · p. 28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Resuelve problemas referidos a soluciones porcentuales, molares, normales y molales.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Sin desglose adicional en el listado.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19, 20, 21, 22, 23, 24, 35, 36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19: </w:t>
            </w:r>
            <w:r>
              <w:rPr>
                <w:sz w:val="20"/>
                <w:szCs w:val="20"/>
              </w:rPr>
              <w:t>cálculos de % m/m y % m/v.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20: </w:t>
            </w:r>
            <w:r>
              <w:rPr>
                <w:sz w:val="20"/>
                <w:szCs w:val="20"/>
              </w:rPr>
              <w:t>cálculo de % v/v y conversión con densidad.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21: </w:t>
            </w:r>
            <w:r>
              <w:rPr>
                <w:sz w:val="20"/>
                <w:szCs w:val="20"/>
              </w:rPr>
              <w:t>cálculo de molaridad y secuencia de preparación.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22: </w:t>
            </w:r>
            <w:r>
              <w:rPr>
                <w:sz w:val="20"/>
                <w:szCs w:val="20"/>
              </w:rPr>
              <w:t>cálculo de alícuota y justificación de la dilución.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23: </w:t>
            </w:r>
            <w:r>
              <w:rPr>
                <w:sz w:val="20"/>
                <w:szCs w:val="20"/>
              </w:rPr>
              <w:t>cálculo de molalidad y distinción de denominadores.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24: </w:t>
            </w:r>
            <w:r>
              <w:rPr>
                <w:sz w:val="20"/>
                <w:szCs w:val="20"/>
              </w:rPr>
              <w:t>circuito de estaciones y cálculo de normalidad.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35: </w:t>
            </w:r>
            <w:r>
              <w:rPr>
                <w:sz w:val="20"/>
                <w:szCs w:val="20"/>
              </w:rPr>
              <w:t>tareas 1 y 2 (molaridad y molalidad).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36: </w:t>
            </w:r>
            <w:r>
              <w:rPr>
                <w:sz w:val="20"/>
                <w:szCs w:val="20"/>
              </w:rPr>
              <w:t>cálculo de la alícuota de dilución.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C8 · p. 28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Utiliza en situaciones problemáticas la nomenclatura y la notación de los grupos funcionales.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Ácidos orgánicos: haluros de los ácidos y anhídridos. Esteres y compuestos azufrados. Compuestos nitrogenados, bases cuaternarias y polinucleados en combinaciones.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25, 26, 27, 28, 29, 30, 31, 32, 35, 36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25: </w:t>
            </w:r>
            <w:r>
              <w:rPr>
                <w:sz w:val="20"/>
                <w:szCs w:val="20"/>
              </w:rPr>
              <w:t>fórmulas y nombres de ácidos, haluros de acilo y anhídridos.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26: </w:t>
            </w:r>
            <w:r>
              <w:rPr>
                <w:sz w:val="20"/>
                <w:szCs w:val="20"/>
              </w:rPr>
              <w:t>fórmulas y nombres de ésteres.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27: </w:t>
            </w:r>
            <w:r>
              <w:rPr>
                <w:sz w:val="20"/>
                <w:szCs w:val="20"/>
              </w:rPr>
              <w:t>fórmulas y nombres de tioles y sulfuros.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28: </w:t>
            </w:r>
            <w:r>
              <w:rPr>
                <w:sz w:val="20"/>
                <w:szCs w:val="20"/>
              </w:rPr>
              <w:t>clasificación y fórmulas de aminas y amidas.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29: </w:t>
            </w:r>
            <w:r>
              <w:rPr>
                <w:sz w:val="20"/>
                <w:szCs w:val="20"/>
              </w:rPr>
              <w:t>fórmulas de sales e hidróxidos de amonio cuaternario y comparación de anillos.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30: </w:t>
            </w:r>
            <w:r>
              <w:rPr>
                <w:sz w:val="20"/>
                <w:szCs w:val="20"/>
              </w:rPr>
              <w:t>nombre de los productos.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31: </w:t>
            </w:r>
            <w:r>
              <w:rPr>
                <w:sz w:val="20"/>
                <w:szCs w:val="20"/>
              </w:rPr>
              <w:t>nombre del éster y de sus productos.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32: </w:t>
            </w:r>
            <w:r>
              <w:rPr>
                <w:sz w:val="20"/>
                <w:szCs w:val="20"/>
              </w:rPr>
              <w:t>nombre de sales de amonio.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35: </w:t>
            </w:r>
            <w:r>
              <w:rPr>
                <w:sz w:val="20"/>
                <w:szCs w:val="20"/>
              </w:rPr>
              <w:t>tarea 3 (nombre del éster y de los productos).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36: </w:t>
            </w:r>
            <w:r>
              <w:rPr>
                <w:sz w:val="20"/>
                <w:szCs w:val="20"/>
              </w:rPr>
              <w:t>nombre del éster y de sus productos.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Ver incidencia I5.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C9 · p. 28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Resuelve ecuaciones referidas a las propiedades químicas de los compuestos orgánicos.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Sin desglose adicional en el listado.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30, 31, 32, 33, 34, 35, 36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30: </w:t>
            </w:r>
            <w:r>
              <w:rPr>
                <w:sz w:val="20"/>
                <w:szCs w:val="20"/>
              </w:rPr>
              <w:t>ecuaciones de neutralización e hidrólisis.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31: </w:t>
            </w:r>
            <w:r>
              <w:rPr>
                <w:sz w:val="20"/>
                <w:szCs w:val="20"/>
              </w:rPr>
              <w:t>ecuaciones de esterificación y saponificación.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32: </w:t>
            </w:r>
            <w:r>
              <w:rPr>
                <w:sz w:val="20"/>
                <w:szCs w:val="20"/>
              </w:rPr>
              <w:t>ecuaciones de protonación y oxidación de tioles.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33: </w:t>
            </w:r>
            <w:r>
              <w:rPr>
                <w:sz w:val="20"/>
                <w:szCs w:val="20"/>
              </w:rPr>
              <w:t>ecuación global de sustitución.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34: </w:t>
            </w:r>
            <w:r>
              <w:rPr>
                <w:sz w:val="20"/>
                <w:szCs w:val="20"/>
              </w:rPr>
              <w:t>ecuación global de hidrólisis básica.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35: </w:t>
            </w:r>
            <w:r>
              <w:rPr>
                <w:sz w:val="20"/>
                <w:szCs w:val="20"/>
              </w:rPr>
              <w:t>tarea 3 (ecuación de hidrólisis básica).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36: </w:t>
            </w:r>
            <w:r>
              <w:rPr>
                <w:sz w:val="20"/>
                <w:szCs w:val="20"/>
              </w:rPr>
              <w:t>ecuación de hidrólisis básica balanceada.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  <w:tr>
        <w:trPr>
          <w:cantSplit/>
        </w:trPr>
        <w:tc>
          <w:tcPr>
            <w:tcW w:w="3005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color w:val="4A148C"/>
                <w:sz w:val="20"/>
                <w:szCs w:val="20"/>
              </w:rPr>
              <w:t>C10 · p. 28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Resuelve ecuaciones acerca de los mecanismos de las reacciones orgánicas.</w:t>
            </w:r>
          </w:p>
        </w:tc>
        <w:tc>
          <w:tcPr>
            <w:tcW w:w="3288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Sin desglose adicional en el listado.</w:t>
            </w:r>
          </w:p>
        </w:tc>
        <w:tc>
          <w:tcPr>
            <w:tcW w:w="130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33, 34, 35, 36</w:t>
            </w:r>
          </w:p>
        </w:tc>
        <w:tc>
          <w:tcPr>
            <w:tcW w:w="5386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33: </w:t>
            </w:r>
            <w:r>
              <w:rPr>
                <w:sz w:val="20"/>
                <w:szCs w:val="20"/>
              </w:rPr>
              <w:t>mecanismo SN2 con flechas curvas.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34: </w:t>
            </w:r>
            <w:r>
              <w:rPr>
                <w:sz w:val="20"/>
                <w:szCs w:val="20"/>
              </w:rPr>
              <w:t>intermedio tetraédrico y flechas.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35: </w:t>
            </w:r>
            <w:r>
              <w:rPr>
                <w:sz w:val="20"/>
                <w:szCs w:val="20"/>
              </w:rPr>
              <w:t>tarea 4 (mecanismo SN2).</w:t>
            </w:r>
          </w:p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Cl. 36: </w:t>
            </w:r>
            <w:r>
              <w:rPr>
                <w:sz w:val="20"/>
                <w:szCs w:val="20"/>
              </w:rPr>
              <w:t>ataque nucleofílico al carbonilo con flechas y carga.</w:t>
            </w:r>
          </w:p>
        </w:tc>
        <w:tc>
          <w:tcPr>
            <w:tcW w:w="2154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Cobertura planificada completa.</w:t>
            </w:r>
          </w:p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Cotejo con el original pendiente (I1).</w:t>
            </w:r>
          </w:p>
        </w:tc>
      </w:tr>
    </w:tbl>
    <w:p>
      <w:pPr>
        <w:pStyle w:val="PlandeClase"/>
        <w:keepNext/>
        <w:widowControl/>
        <w:spacing w:before="160" w:after="60" w:line="240" w:lineRule="auto"/>
      </w:pPr>
      <w:r>
        <w:rPr>
          <w:sz w:val="24"/>
          <w:szCs w:val="24"/>
        </w:rPr>
        <w:t>Síntesis de verificación de la matriz</w:t>
      </w:r>
    </w:p>
    <w:p>
      <w:pPr>
        <w:widowControl/>
        <w:spacing w:before="0" w:after="60" w:line="252" w:lineRule="auto"/>
      </w:pPr>
      <w:r>
        <w:rPr>
          <w:sz w:val="20"/>
          <w:szCs w:val="20"/>
        </w:rPr>
        <w:t>Cada una de las diez capacidades tiene al menos tres encuentros y una evidencia evaluable por encuentro. En las clases con varias capacidades (5, 6, 12, 15–18, 24, 30–36) la evidencia se declara por capacidad. La clase 36 documenta solo C7–C10; C1–C6 se documentan en las clases 1–18. Las capacidades C1 y C2 se valoran en la evaluación integradora de la clase 12; C3–C6 en la valoración de la primera etapa (clase 16); C7–C10 en la de la segunda etapa (clase 35).</w:t>
      </w:r>
    </w:p>
    <w:p>
      <w:pPr>
        <w:pStyle w:val="PlandeClase"/>
        <w:keepNext/>
        <w:widowControl/>
        <w:spacing w:before="160" w:after="60" w:line="240" w:lineRule="auto"/>
      </w:pPr>
      <w:r>
        <w:rPr>
          <w:sz w:val="24"/>
          <w:szCs w:val="24"/>
        </w:rPr>
        <w:t>Competencias y orientaciones (según transcripción pública)</w:t>
      </w:r>
    </w:p>
    <w:p>
      <w:pPr>
        <w:widowControl/>
        <w:spacing w:before="0" w:after="60" w:line="252" w:lineRule="auto"/>
      </w:pPr>
      <w:r>
        <w:rPr>
          <w:b/>
          <w:sz w:val="20"/>
          <w:szCs w:val="20"/>
        </w:rPr>
        <w:t xml:space="preserve">Competencia específica (p. 27): </w:t>
      </w:r>
      <w:r>
        <w:rPr>
          <w:sz w:val="20"/>
          <w:szCs w:val="20"/>
        </w:rPr>
        <w:t>Resuelve situaciones problemáticas referidas a fenómenos acontecidos en el entorno aplicando los principios y las ecuaciones de las funciones químicas.</w:t>
      </w:r>
    </w:p>
    <w:p>
      <w:pPr>
        <w:widowControl/>
        <w:spacing w:before="0" w:after="60" w:line="252" w:lineRule="auto"/>
      </w:pPr>
      <w:r>
        <w:rPr>
          <w:b/>
          <w:sz w:val="20"/>
          <w:szCs w:val="20"/>
        </w:rPr>
        <w:t xml:space="preserve">Competencias generales (p. 18): </w:t>
      </w:r>
      <w:r>
        <w:rPr>
          <w:sz w:val="20"/>
          <w:szCs w:val="20"/>
        </w:rPr>
        <w:t>Utilicen con actitud científica y ética las metodologías científica e investigativa en la comprensión y expresión de principios, leyes, teorías y fenómenos acontecidos en el medio ambiente y en la solución de situaciones problemáticas del entorno. Planteen y resuelvan problemas con actitud crítica y ética, utilizando el pensamiento lógico y el lenguaje matemático, para formular, deducir y realizar inferencias que contribuyan al desarrollo personal y social.</w:t>
      </w:r>
    </w:p>
    <w:p>
      <w:pPr>
        <w:widowControl/>
        <w:spacing w:before="0" w:after="60" w:line="252" w:lineRule="auto"/>
      </w:pPr>
      <w:r>
        <w:rPr>
          <w:b/>
          <w:sz w:val="20"/>
          <w:szCs w:val="20"/>
        </w:rPr>
        <w:t xml:space="preserve">Orientación metodológica (p. 43): </w:t>
      </w:r>
      <w:r>
        <w:rPr>
          <w:sz w:val="20"/>
          <w:szCs w:val="20"/>
        </w:rPr>
        <w:t>«En cuanto a la disciplina de Química, se debe seguir afianzando la notación y nomenclatura científica, la notación y el balanceo de ecuaciones químicas, y el planteo y resolución de problemas químicos. Así mismo, en el proceso de enseñanza-aprendizaje debe brindarse un espacio importante al diseño y ejecución de experiencias, a fin de otorgar el carácter vivencial a la enseñanza de esta disciplina.»</w:t>
      </w:r>
    </w:p>
    <w:p>
      <w:pPr>
        <w:widowControl/>
        <w:spacing w:before="0" w:after="60" w:line="252" w:lineRule="auto"/>
      </w:pPr>
      <w:r>
        <w:rPr>
          <w:b/>
          <w:sz w:val="20"/>
          <w:szCs w:val="20"/>
        </w:rPr>
        <w:t xml:space="preserve">Orientación de evaluación (p. 44): </w:t>
      </w:r>
      <w:r>
        <w:rPr>
          <w:sz w:val="20"/>
          <w:szCs w:val="20"/>
        </w:rPr>
        <w:t>sugiere rúbrica, lista de control, registro de secuencias de aprendizaje, pruebas de libro abierto, fichas de investigación, pruebas escritas y pruebas prácticas; las pruebas escritas orientadas principalmente a la resolución de problemas y generación de preguntas. Los instrumentos de los planes v3 (listas de cotejo, rúbricas, pruebas escritas, prueba práctica por estaciones y portafolio) se ajustan a esa orientación.</w:t>
      </w:r>
    </w:p>
    <w:p>
      <w:pPr>
        <w:widowControl/>
        <w:spacing w:before="0" w:after="60" w:line="252" w:lineRule="auto"/>
      </w:pPr>
      <w:r>
        <w:rPr>
          <w:b/>
          <w:sz w:val="20"/>
          <w:szCs w:val="20"/>
        </w:rPr>
        <w:t xml:space="preserve">Fuente: </w:t>
      </w:r>
      <w:r>
        <w:rPr>
          <w:sz w:val="20"/>
          <w:szCs w:val="20"/>
        </w:rPr>
        <w:t>Ministerio de Educación y Cultura (2014). Actualización Curricular del Bachillerato Científico de la Educación Media. Plan Específico: Énfasis en Ciencias Básicas y Tecnología. Asunción: MEC (pp. 18, 20, 26–28, 43–46). Transcripciones de versiones anteriores, no cotejadas con el original en esta revisión.</w:t>
      </w:r>
    </w:p>
    <w:p>
      <w:pPr>
        <w:pStyle w:val="PlandeClase"/>
        <w:keepNext/>
        <w:widowControl/>
        <w:spacing w:before="160" w:after="60" w:line="240" w:lineRule="auto"/>
      </w:pPr>
      <w:r>
        <w:rPr>
          <w:sz w:val="24"/>
          <w:szCs w:val="24"/>
        </w:rPr>
        <w:t>Incidencias que requieren cierre documental</w:t>
      </w:r>
    </w:p>
    <w:tbl>
      <w:tblPr>
        <w:tblW w:w="15137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624"/>
        <w:gridCol w:w="7710"/>
        <w:gridCol w:w="6803"/>
      </w:tblGrid>
      <w:tr>
        <w:trPr>
          <w:cantSplit/>
          <w:tblHeader/>
        </w:trPr>
        <w:tc>
          <w:tcPr>
            <w:tcW w:w="624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7710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>INCIDENCIA</w:t>
            </w:r>
          </w:p>
        </w:tc>
        <w:tc>
          <w:tcPr>
            <w:tcW w:w="6803" w:type="dxa"/>
            <w:shd w:val="clear" w:color="auto" w:fill="4A148C"/>
          </w:tcPr>
          <w:p>
            <w:pPr>
              <w:keepNext/>
              <w:widowControl/>
              <w:spacing w:before="0" w:after="0" w:line="240" w:lineRule="auto"/>
            </w:pPr>
            <w:r>
              <w:rPr>
                <w:b/>
                <w:color w:val="FFFFFF"/>
                <w:sz w:val="18"/>
                <w:szCs w:val="18"/>
              </w:rPr>
              <w:t>TRATAMIENTO EN v3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I1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 se dispone del PDF oficial completo. En esta revisión el repositorio del CONACYT (dspacereva.conacyt.gov.py, archivo «enfasiscienciasbasicasytecnologia.pdf») apareció en la búsqueda, pero la red del entorno bloqueó la descarga.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Capacidades y páginas se mantienen como transcripción; ningún dato se presenta como verificado en la fuente oficial.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I2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Malla curricular de la p. 20 sin lectura verificable: no se confirmó la carga semanal de Química específica.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Se mantienen 2 HC semanales como propuesta provisional (36 encuentros, 72 HC).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I3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«Fusion nuclear» y «Fusión nuclear» aparecen consecutivamente; por el contexto (reactores, bomba atómica) la primera remite a fisión.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Clase 8 enseña fisión y fusión y lo indica en una nota docente; no se corrige la fuente en silencio.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I4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El título de hibridación está en la p. 27 y el desglose «Atómicos y moleculares» en la p. 28.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Clases 15, 17 y 18 distinguen orbital híbrido (atómico) de orbital molecular.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I5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«Bases cuaternarias y polinucleados en combinaciones» tiene alcance ambiguo.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Clase 29 declara su interpretación: hidróxidos de amonio cuaternario y sistemas aromáticos polinucleares, carbocíclicos (naftaleno) y nitrogenados (quinolina).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I6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 se pudo comprobar si existe una actualización curricular posterior a 2014 que modifique el programa.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No se usa la priorización curricular 2021 como reemplazo.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I7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Una copia pública presenta numeración final «49» y otra «48»; no se certifica la integridad del original.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Las páginas citadas son las impresas en la copia de 48 páginas.</w:t>
            </w:r>
          </w:p>
        </w:tc>
      </w:tr>
      <w:tr>
        <w:trPr>
          <w:cantSplit/>
        </w:trPr>
        <w:tc>
          <w:tcPr>
            <w:tcW w:w="624" w:type="dxa"/>
          </w:tcPr>
          <w:p>
            <w:pPr>
              <w:widowControl/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>I8</w:t>
            </w:r>
          </w:p>
        </w:tc>
        <w:tc>
          <w:tcPr>
            <w:tcW w:w="7710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Duración de la hora cátedra no verificada en fuente oficial.</w:t>
            </w:r>
          </w:p>
        </w:tc>
        <w:tc>
          <w:tcPr>
            <w:tcW w:w="6803" w:type="dxa"/>
          </w:tcPr>
          <w:p>
            <w:pPr>
              <w:widowControl/>
              <w:spacing w:before="0" w:after="0" w:line="240" w:lineRule="auto"/>
            </w:pPr>
            <w:r>
              <w:rPr>
                <w:sz w:val="20"/>
                <w:szCs w:val="20"/>
              </w:rPr>
              <w:t>Los planes suponen HC de 40 min (80 min por encuentro) y lo declaran en la identificación de cada plan.</w:t>
            </w:r>
          </w:p>
        </w:tc>
      </w:tr>
    </w:tbl>
    <w:sectPr>
      <w:footerReference w:type="default" r:id="rId122"/>
      <w:headerReference w:type="default" r:id="rId124"/>
      <w:pgSz w:w="16838" w:h="11906" w:orient="landscape"/>
      <w:pgMar w:top="850" w:right="850" w:bottom="794" w:left="85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  <w:szCs w:val="17"/>
      </w:rPr>
      <w:t xml:space="preserve">Química 3.º · Plan Específico CBT · Matriz curricular 2026  ·  </w:t>
    </w:r>
    <w:r>
      <w:rPr>
        <w:color w:val="595959"/>
        <w:sz w:val="17"/>
        <w:szCs w:val="17"/>
      </w:rPr>
      <w:t xml:space="preserve">Página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 PAGE 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t xml:space="preserve"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 xml:space="preserve"> NUMPAGES </w:instrText>
    </w:r>
    <w:r>
      <w:rPr>
        <w:color w:val="595959"/>
        <w:sz w:val="17"/>
        <w:szCs w:val="17"/>
      </w:rPr>
      <w:fldChar w:fldCharType="separate"/>
    </w:r>
    <w:r>
      <w:rPr>
        <w:color w:val="595959"/>
        <w:sz w:val="17"/>
        <w:szCs w:val="17"/>
      </w:rPr>
      <w:t xml:space="preserve">1</w:t>
    </w:r>
    <w:r>
      <w:rPr>
        <w:color w:val="595959"/>
        <w:sz w:val="17"/>
        <w:szCs w:val="17"/>
      </w:rPr>
      <w:fldChar w:fldCharType="end"/>
    </w:r>
  </w:p>
</w:ft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4A148C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2" Type="http://schemas.openxmlformats.org/officeDocument/2006/relationships/footer" Target="footer58.xml"/><Relationship Id="rId124" Type="http://schemas.openxmlformats.org/officeDocument/2006/relationships/header" Target="header5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2026-10-21T12:00:00Z</dcterms:created>
  <dcterms:modified xsi:type="dcterms:W3CDTF">2026-10-21T12:00:00Z</dcterms:modified>
  <cp:category/>
</cp:coreProperties>
</file>