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Material editorial independiente. Oficio 216 × 330 mm. Revisión R3, 22 de octubre de 2026.</w:t>
      </w:r>
    </w:p>
    <w:p>
      <w:pPr>
        <w:jc w:val="center"/>
      </w:pPr>
      <w:r>
        <w:rPr>
          <w:b/>
          <w:color w:val="263238"/>
          <w:sz w:val="32"/>
        </w:rPr>
        <w:t>PLAN ANUAL DE CLASES</w:t>
      </w:r>
    </w:p>
    <w:p>
      <w:pPr>
        <w:jc w:val="center"/>
      </w:pPr>
      <w:r>
        <w:rPr>
          <w:b/>
          <w:color w:val="455A64"/>
          <w:sz w:val="24"/>
        </w:rPr>
        <w:t>Informática · 3.er Curso</w:t>
      </w:r>
    </w:p>
    <w:p>
      <w:pPr>
        <w:jc w:val="center"/>
      </w:pPr>
      <w:r>
        <w:rPr>
          <w:b w:val="0"/>
          <w:color w:val="455A64"/>
          <w:sz w:val="20"/>
        </w:rPr>
        <w:t xml:space="preserve">Bachillerato Técnico en Contabilidad · Plan Específico · Basado en el programa del BTC</w:t>
      </w:r>
    </w:p>
    <w:p>
      <w:pPr>
        <w:jc w:val="center"/>
      </w:pPr>
      <w:r>
        <w:rPr>
          <w:b w:val="0"/>
          <w:color w:val="455A64"/>
          <w:sz w:val="20"/>
        </w:rPr>
        <w:t xml:space="preserve">Carga semanal de referencia del programa BTC: 3 horas cátedra. Distribución editorial ajustable al calendario institucional. Distribución anual: 36 encuentros / 108 horas cátedra: 20 encuentros base de clase, 14 continuaciones de laboratorio en encuentro propio y 2 evaluaciones de etapa. Las Prácticas 3, 7, 10, 14, 17 y 20 y las 6 evaluaciones de unidad se integran en sus respectivas clases de cierre y no suman encuentros adicionales.</w:t>
      </w:r>
    </w:p>
    <w:p>
      <w:pPr>
        <w:jc w:val="center"/>
      </w:pPr>
      <w:r>
        <w:rPr>
          <w:b w:val="0"/>
          <w:color w:val="455A64"/>
          <w:sz w:val="19"/>
        </w:rPr>
        <w:t>República del Paraguay · 2026</w:t>
      </w:r>
    </w:p>
    <w:p>
      <w:pPr>
        <w:jc w:val="center"/>
      </w:pPr>
      <w:r>
        <w:rPr>
          <w:b w:val="0"/>
          <w:color w:val="455A64"/>
          <w:sz w:val="19"/>
        </w:rPr>
        <w:t xml:space="preserve">Aplicación de la edición corregida: verificar programa y calendario aplicables. Los 36 encuentros y la equivalencia de 40 minutos por hora cátedra son referencias editoriales que la institución debe confirmar. Usar los CSV adjuntos para la carga y las pruebas de errores equilibrados; verificar el software y sus funciones antes del curso. En diseño se trabaja desde un maestro A3; la maqueta web no equivale a sitio publicado.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2494"/>
        <w:gridCol w:w="3685"/>
        <w:gridCol w:w="850"/>
        <w:gridCol w:w="3118"/>
        <w:gridCol w:w="2835"/>
        <w:gridCol w:w="2268"/>
      </w:tblGrid>
      <w:tr>
        <w:trPr>
          <w:tblHeader/>
          <w:cantSplit/>
        </w:trPr>
        <w:tc>
          <w:tcPr>
            <w:tcW w:type="dxa" w:w="567"/>
            <w:shd w:val="clear" w:color="auto" w:fill="5D403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N°</w:t>
            </w:r>
          </w:p>
        </w:tc>
        <w:tc>
          <w:tcPr>
            <w:tcW w:type="dxa" w:w="2494"/>
            <w:shd w:val="clear" w:color="auto" w:fill="5D403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TEMAS</w:t>
            </w:r>
          </w:p>
        </w:tc>
        <w:tc>
          <w:tcPr>
            <w:tcW w:type="dxa" w:w="3685"/>
            <w:shd w:val="clear" w:color="auto" w:fill="5D403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INDICADORES DE LOGRO</w:t>
            </w:r>
          </w:p>
        </w:tc>
        <w:tc>
          <w:tcPr>
            <w:tcW w:type="dxa" w:w="850"/>
            <w:shd w:val="clear" w:color="auto" w:fill="5D403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118"/>
            <w:shd w:val="clear" w:color="auto" w:fill="5D403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2835"/>
            <w:shd w:val="clear" w:color="auto" w:fill="5D403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INSTRUMENTOS DE EVALUACIÓN</w:t>
            </w:r>
          </w:p>
        </w:tc>
        <w:tc>
          <w:tcPr>
            <w:tcW w:type="dxa" w:w="2268"/>
            <w:shd w:val="clear" w:color="auto" w:fill="5D403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OBSERVACIÓN</w:t>
            </w:r>
          </w:p>
        </w:tc>
      </w:tr>
      <w:tr>
        <w:trPr>
          <w:cantSplit/>
        </w:trPr>
        <w:tc>
          <w:tcPr>
            <w:tcW w:type="dxa" w:w="1134"/>
            <w:gridSpan w:val="7"/>
            <w:shd w:val="clear" w:color="auto" w:fill="1B4F72"/>
          </w:tcPr>
          <w:p>
            <w:pPr>
              <w:keepNext/>
            </w:pPr>
            <w:r>
              <w:t>ETAPA 1 — Febrero a junio · cierre en junio</w:t>
            </w:r>
          </w:p>
        </w:tc>
      </w:tr>
      <w:tr>
        <w:trPr>
          <w:cantSplit/>
        </w:trPr>
        <w:tc>
          <w:tcPr>
            <w:tcW w:type="dxa" w:w="1134"/>
            <w:gridSpan w:val="7"/>
            <w:shd w:val="clear" w:color="auto" w:fill="455A64"/>
          </w:tcPr>
          <w:p>
            <w:pPr>
              <w:keepNext/>
            </w:pPr>
            <w:r>
              <w:t>UNIDAD 1 — El sistema administrativo contable y su configuración</w:t>
            </w:r>
            <w:r>
              <w:rPr>
                <w:b w:val="0"/>
              </w:rPr>
              <w:t xml:space="preserve"> — Capacidad: Aplica los conocimientos teóricos administrativos contables procesando datos en un sistema.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49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El sistema administrativo contable: qué es, para qué sirve y cómo está organizado</w:t>
            </w:r>
          </w:p>
        </w:tc>
        <w:tc>
          <w:tcPr>
            <w:tcW w:type="dxa" w:w="368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• Explica con sus palabras qué es un sistema administrativo contable y qué problema resuelve.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Identifica los cuatro módulos típicos del sistema y la función de cada uno.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Justifica por qué el sistema trabaja sobre una única base de datos.</w:t>
            </w:r>
          </w:p>
        </w:tc>
        <w:tc>
          <w:tcPr>
            <w:tcW w:type="dxa" w:w="850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6 h</w:t>
            </w:r>
          </w:p>
        </w:tc>
        <w:tc>
          <w:tcPr>
            <w:tcW w:type="dxa" w:w="311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Prueba diagnóstica escrita. Lluvia de ideas sobre el paso de la planilla al sistema. Lectura dirigida del esquema de módulos y armado colectivo del mapa en el pizarrón. · Continuación en encuentro propio: Práctica 1 del Cuaderno de Laboratorio.</w:t>
            </w:r>
          </w:p>
        </w:tc>
        <w:tc>
          <w:tcPr>
            <w:tcW w:type="dxa" w:w="283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Prueba diagnóstica (sin nota). Lista de cotejo del mapa de módulos elaborado.</w:t>
            </w:r>
          </w:p>
        </w:tc>
        <w:tc>
          <w:tcPr>
            <w:tcW w:type="dxa" w:w="226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Aplicación de la prueba diagnóstica · Febrero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49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Ingreso de los datos de la empresa y configuración del ejercicio fiscal</w:t>
            </w:r>
          </w:p>
        </w:tc>
        <w:tc>
          <w:tcPr>
            <w:tcW w:type="dxa" w:w="368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• Enumera los datos mínimos que exige el alta de una empresa en el sistema.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Relaciona el régimen tributario del contribuyente con la configuración del sistema.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Fundamenta por qué un error en el alta afecta a todos los reportes del año.</w:t>
            </w:r>
          </w:p>
        </w:tc>
        <w:tc>
          <w:tcPr>
            <w:tcW w:type="dxa" w:w="850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6 h</w:t>
            </w:r>
          </w:p>
        </w:tc>
        <w:tc>
          <w:tcPr>
            <w:tcW w:type="dxa" w:w="311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Simulación de entrevista al cliente para relevar datos de alta. Carga guiada de la ficha de empresa en el laboratorio y verificación del tope del régimen previamente definido para el caso, aclarando que el monto por sí solo no determina el encuadre. · Continuación en encuentro propio: Práctica 2 del Cuaderno de Laboratorio.</w:t>
            </w:r>
          </w:p>
        </w:tc>
        <w:tc>
          <w:tcPr>
            <w:tcW w:type="dxa" w:w="283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Ficha de alta de empresa completada, evaluada con lista de cotejo de datos exigidos.</w:t>
            </w:r>
          </w:p>
        </w:tc>
        <w:tc>
          <w:tcPr>
            <w:tcW w:type="dxa" w:w="226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Febrero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49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Configuración de niveles de seguridad: usuarios, perfiles y permisos</w:t>
            </w:r>
          </w:p>
        </w:tc>
        <w:tc>
          <w:tcPr>
            <w:tcW w:type="dxa" w:w="368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• Distingue los perfiles de usuario de un sistema contable y sus permisos.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Explica para qué sirve la pista de auditoría del sistema.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Propone una asignación de permisos razonable para un caso dado.</w:t>
            </w:r>
          </w:p>
        </w:tc>
        <w:tc>
          <w:tcPr>
            <w:tcW w:type="dxa" w:w="850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3 h</w:t>
            </w:r>
          </w:p>
        </w:tc>
        <w:tc>
          <w:tcPr>
            <w:tcW w:type="dxa" w:w="311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Estudio de casos de accesos indebidos. Construcción grupal de una matriz de perfiles y permisos y defensa oral de la asignación propuesta. · Práctica 3 integrada en este mismo encuentro; evaluación de unidad al cierre.</w:t>
            </w:r>
          </w:p>
        </w:tc>
        <w:tc>
          <w:tcPr>
            <w:tcW w:type="dxa" w:w="283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Rúbrica de la matriz de perfiles: pertinencia, justificación y exposición oral. · Evaluación de la Unidad 1</w:t>
            </w:r>
          </w:p>
        </w:tc>
        <w:tc>
          <w:tcPr>
            <w:tcW w:type="dxa" w:w="226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Cierre de Unidad 1 y evaluación de unidad · Marzo</w:t>
            </w:r>
          </w:p>
        </w:tc>
      </w:tr>
      <w:tr>
        <w:trPr>
          <w:cantSplit/>
        </w:trPr>
        <w:tc>
          <w:tcPr>
            <w:tcW w:type="dxa" w:w="1134"/>
            <w:gridSpan w:val="7"/>
            <w:shd w:val="clear" w:color="auto" w:fill="455A64"/>
          </w:tcPr>
          <w:p>
            <w:pPr>
              <w:keepNext/>
            </w:pPr>
            <w:r>
              <w:t>UNIDAD 2 — Archivos maestros y registración en el sistema</w:t>
            </w:r>
            <w:r>
              <w:rPr>
                <w:b w:val="0"/>
              </w:rPr>
              <w:t xml:space="preserve"> — Capacidad: Aplica los conocimientos teóricos administrativos contables procesando datos en un sistema.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49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Procesamiento de datos del plan de cuentas: códigos, niveles e imputabilidad</w:t>
            </w:r>
          </w:p>
        </w:tc>
        <w:tc>
          <w:tcPr>
            <w:tcW w:type="dxa" w:w="368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• Interpreta la estructura de códigos por niveles de un plan de cuentas informatizado.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Distingue cuentas de agrupación de cuentas imputables.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Carga en un plan de cuentas las partidas necesarias para un caso dado.</w:t>
            </w:r>
          </w:p>
        </w:tc>
        <w:tc>
          <w:tcPr>
            <w:tcW w:type="dxa" w:w="850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6 h</w:t>
            </w:r>
          </w:p>
        </w:tc>
        <w:tc>
          <w:tcPr>
            <w:tcW w:type="dxa" w:w="311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Análisis de la estructura jerárquica de códigos. Carga del plan de cuentas de San Blas en el sistema y prueba de imputación contra una cuenta de agrupación. · Continuación en encuentro propio: Práctica 4 del Cuaderno de Laboratorio.</w:t>
            </w:r>
          </w:p>
        </w:tc>
        <w:tc>
          <w:tcPr>
            <w:tcW w:type="dxa" w:w="283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Registro de desempeño en la carga del plan de cuentas; control de niveles e imputabilidad.</w:t>
            </w:r>
          </w:p>
        </w:tc>
        <w:tc>
          <w:tcPr>
            <w:tcW w:type="dxa" w:w="226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Marzo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49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Del comprobante al asiento: comprobantes electrónicos como fuente del registro</w:t>
            </w:r>
          </w:p>
        </w:tc>
        <w:tc>
          <w:tcPr>
            <w:tcW w:type="dxa" w:w="368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• Describe el circuito que va del comprobante al asiento cargado en el sistema.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Distingue documento electrónico, documento tributario electrónico y KuDE.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Determina las cuentas a imputar a partir de un comprobante dado.</w:t>
            </w:r>
          </w:p>
        </w:tc>
        <w:tc>
          <w:tcPr>
            <w:tcW w:type="dxa" w:w="850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6 h</w:t>
            </w:r>
          </w:p>
        </w:tc>
        <w:tc>
          <w:tcPr>
            <w:tcW w:type="dxa" w:w="311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Observación de comprobantes electrónicos modelo. Reconstrucción del recorrido DE → DTE → KuDE en línea de tiempo y determinación de cuentas a imputar. · Continuación en encuentro propio: Práctica 5 del Cuaderno de Laboratorio.</w:t>
            </w:r>
          </w:p>
        </w:tc>
        <w:tc>
          <w:tcPr>
            <w:tcW w:type="dxa" w:w="283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Cuestionario de identificación de comprobantes y su imputación, con clave de corrección.</w:t>
            </w:r>
          </w:p>
        </w:tc>
        <w:tc>
          <w:tcPr>
            <w:tcW w:type="dxa" w:w="226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Abril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49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Procesamiento de asientos contables: saldos iniciales y operaciones del mes</w:t>
            </w:r>
          </w:p>
        </w:tc>
        <w:tc>
          <w:tcPr>
            <w:tcW w:type="dxa" w:w="368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• Carga en el sistema un asiento de saldos iniciales verificando la igualdad Debe = Haber.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Registra operaciones de compra, venta, cobro y pago con su IVA correspondiente.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Reconoce y corrige un asiento desbalanceado.</w:t>
            </w:r>
          </w:p>
        </w:tc>
        <w:tc>
          <w:tcPr>
            <w:tcW w:type="dxa" w:w="850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6 h</w:t>
            </w:r>
          </w:p>
        </w:tc>
        <w:tc>
          <w:tcPr>
            <w:tcW w:type="dxa" w:w="311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Carga asistida de los saldos iniciales del período de práctica y de las operaciones del mes, diferenciándolos de la apertura legal del ejercicio fiscal. Provocación deliberada de un asiento desbalanceado para observar la validación del sistema. · Continuación en encuentro propio: Práctica 6 del Cuaderno de Laboratorio.</w:t>
            </w:r>
          </w:p>
        </w:tc>
        <w:tc>
          <w:tcPr>
            <w:tcW w:type="dxa" w:w="283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Escala de valoración de la carga de asientos: exactitud, imputación y equilibrio.</w:t>
            </w:r>
          </w:p>
        </w:tc>
        <w:tc>
          <w:tcPr>
            <w:tcW w:type="dxa" w:w="226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Abril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49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Libro Inventario y Libro Diario emitidos por el sistema</w:t>
            </w:r>
          </w:p>
        </w:tc>
        <w:tc>
          <w:tcPr>
            <w:tcW w:type="dxa" w:w="368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• Explica el contenido y la finalidad del Libro Inventario y del Libro Diario.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Emite y verifica el Libro Diario de un período desde el módulo de reportes.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Comprueba que los totales del Diario coincidan con las sumas de los asientos cargados.</w:t>
            </w:r>
          </w:p>
        </w:tc>
        <w:tc>
          <w:tcPr>
            <w:tcW w:type="dxa" w:w="850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3 h</w:t>
            </w:r>
          </w:p>
        </w:tc>
        <w:tc>
          <w:tcPr>
            <w:tcW w:type="dxa" w:w="311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Emisión del Libro Diario desde el módulo de reportes. Cotejo del total emitido contra la hoja de control de comprobantes elaborada por el estudiante. · Práctica 7 integrada en este mismo encuentro; evaluación de unidad al cierre.</w:t>
            </w:r>
          </w:p>
        </w:tc>
        <w:tc>
          <w:tcPr>
            <w:tcW w:type="dxa" w:w="283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Cotejo del Libro Diario emitido contra la hoja de control; informe breve de verificación. · Evaluación de la Unidad 2</w:t>
            </w:r>
          </w:p>
        </w:tc>
        <w:tc>
          <w:tcPr>
            <w:tcW w:type="dxa" w:w="226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Cierre de Unidad 2 y evaluación de unidad · Mayo</w:t>
            </w:r>
          </w:p>
        </w:tc>
      </w:tr>
      <w:tr>
        <w:trPr>
          <w:cantSplit/>
        </w:trPr>
        <w:tc>
          <w:tcPr>
            <w:tcW w:type="dxa" w:w="1134"/>
            <w:gridSpan w:val="7"/>
            <w:shd w:val="clear" w:color="auto" w:fill="455A64"/>
          </w:tcPr>
          <w:p>
            <w:pPr>
              <w:keepNext/>
            </w:pPr>
            <w:r>
              <w:t>UNIDAD 3 — Mayor, balances y estados financieros desde el sistema</w:t>
            </w:r>
            <w:r>
              <w:rPr>
                <w:b w:val="0"/>
              </w:rPr>
              <w:t xml:space="preserve"> — Capacidad: Aplica los conocimientos teóricos administrativos contables procesando datos en un sistema.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49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Libro Mayor: mayorización automática y análisis de saldos</w:t>
            </w:r>
          </w:p>
        </w:tc>
        <w:tc>
          <w:tcPr>
            <w:tcW w:type="dxa" w:w="368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• Explica cómo el sistema construye el Libro Mayor a partir del Diario.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Determina el saldo de una cuenta y su naturaleza deudora o acreedora.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Detecta saldos incoherentes usando el Mayor como herramienta de control.</w:t>
            </w:r>
          </w:p>
        </w:tc>
        <w:tc>
          <w:tcPr>
            <w:tcW w:type="dxa" w:w="850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6 h</w:t>
            </w:r>
          </w:p>
        </w:tc>
        <w:tc>
          <w:tcPr>
            <w:tcW w:type="dxa" w:w="311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Consulta de mayores por cuenta. Determinación manual de un saldo y contraste con el resultado del sistema. Simulacro de conciliación bancaria con un extracto modelo. · Continuación en encuentro propio: Práctica 8 del Cuaderno de Laboratorio.</w:t>
            </w:r>
          </w:p>
        </w:tc>
        <w:tc>
          <w:tcPr>
            <w:tcW w:type="dxa" w:w="283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Ejercicio de determinación de saldos con corrección cruzada entre pares.</w:t>
            </w:r>
          </w:p>
        </w:tc>
        <w:tc>
          <w:tcPr>
            <w:tcW w:type="dxa" w:w="226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Mayo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49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Balance de comprobación de sumas y saldos · reportes por pantalla e impresora</w:t>
            </w:r>
          </w:p>
        </w:tc>
        <w:tc>
          <w:tcPr>
            <w:tcW w:type="dxa" w:w="368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• Interpreta las dos igualdades del balance de comprobación de sumas y saldos.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Emite el reporte por pantalla y en papel eligiendo los parámetros adecuados.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Identifica qué tipo de error detecta y cuál no detecta el balance de comprobación.</w:t>
            </w:r>
          </w:p>
        </w:tc>
        <w:tc>
          <w:tcPr>
            <w:tcW w:type="dxa" w:w="850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6 h</w:t>
            </w:r>
          </w:p>
        </w:tc>
        <w:tc>
          <w:tcPr>
            <w:tcW w:type="dxa" w:w="311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 xml:space="preserve">Emisión del balance de comprobación por pantalla y exportación a PDF. Comparación de las dos copias CSV con errores equilibrados: imputación incorrecta y asiento duplicado. Se comprueba que las igualdades no bastan para detectarlos. · Continuación en encuentro propio: Práctica 9 del Cuaderno de Laboratorio.</w:t>
            </w:r>
          </w:p>
        </w:tc>
        <w:tc>
          <w:tcPr>
            <w:tcW w:type="dxa" w:w="283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 xml:space="preserve">Lista de cotejo: asientos, imputaciones y saldos comparados con la base correcta; captura del reporte exportado.</w:t>
            </w:r>
          </w:p>
        </w:tc>
        <w:tc>
          <w:tcPr>
            <w:tcW w:type="dxa" w:w="226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Junio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49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Estado de Resultados, Balance General y simulación del cierre anual</w:t>
            </w:r>
          </w:p>
        </w:tc>
        <w:tc>
          <w:tcPr>
            <w:tcW w:type="dxa" w:w="368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• Emite e interpreta el Estado de Resultados y el Balance General generados por el sistema.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Explica la relación entre la utilidad del período y el patrimonio neto.</w:t>
            </w:r>
          </w:p>
          <w:p>
            <w:pPr>
              <w:spacing w:after="20"/>
            </w:pPr>
            <w:r>
              <w:t>• Distingue el corte mensual del 30/09 de la función de cierre anual del sistema y describe qué hace esta última.</w:t>
            </w:r>
          </w:p>
        </w:tc>
        <w:tc>
          <w:tcPr>
            <w:tcW w:type="dxa" w:w="850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3 h</w:t>
            </w:r>
          </w:p>
        </w:tc>
        <w:tc>
          <w:tcPr>
            <w:tcW w:type="dxa" w:w="311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Registro de los ajustes de setiembre. Emisión e interpretación del Estado de Resultados y del Balance General al 30/09 como corte mensual. Simulación conceptual de la función de cierre anual al 31/12, sin confundirla con el corte mensual. · Práctica 10 integrada en este mismo encuentro; evaluación de unidad al cierre.</w:t>
            </w:r>
          </w:p>
        </w:tc>
        <w:tc>
          <w:tcPr>
            <w:tcW w:type="dxa" w:w="283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Evaluación de la Unidad 3 · Interpretación escrita de los estados financieros y distinción entre corte mensual y cierre anual.</w:t>
            </w:r>
          </w:p>
        </w:tc>
        <w:tc>
          <w:tcPr>
            <w:tcW w:type="dxa" w:w="226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Cierre de Unidad 3 y evaluación de unidad · Junio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AF1F6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494"/>
            <w:shd w:val="clear" w:color="auto" w:fill="EAF1F6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EVALUACIÓN DE LA ETAPA 1 — Del alta de la empresa a los estados financieros</w:t>
            </w:r>
          </w:p>
        </w:tc>
        <w:tc>
          <w:tcPr>
            <w:tcW w:type="dxa" w:w="3685"/>
            <w:shd w:val="clear" w:color="auto" w:fill="EAF1F6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• Integra los contenidos de la etapa resolviendo situaciones del caso Despensa San Blas.</w:t>
            </w:r>
          </w:p>
        </w:tc>
        <w:tc>
          <w:tcPr>
            <w:tcW w:type="dxa" w:w="850"/>
            <w:shd w:val="clear" w:color="auto" w:fill="EAF1F6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3 h</w:t>
            </w:r>
          </w:p>
        </w:tc>
        <w:tc>
          <w:tcPr>
            <w:tcW w:type="dxa" w:w="3118"/>
            <w:shd w:val="clear" w:color="auto" w:fill="EAF1F6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Prueba escrita integradora en página propia, con ítems de selección múltiple, completamiento, verdadero-falso y desarrollo.</w:t>
            </w:r>
          </w:p>
        </w:tc>
        <w:tc>
          <w:tcPr>
            <w:tcW w:type="dxa" w:w="2835"/>
            <w:shd w:val="clear" w:color="auto" w:fill="EAF1F6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Prueba escrita de la Etapa 1 (40 puntos) con clave de corrección del Solucionario.</w:t>
            </w:r>
          </w:p>
        </w:tc>
        <w:tc>
          <w:tcPr>
            <w:tcW w:type="dxa" w:w="2268"/>
            <w:shd w:val="clear" w:color="auto" w:fill="EAF1F6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Cierre de etapa</w:t>
            </w:r>
          </w:p>
        </w:tc>
      </w:tr>
      <w:tr>
        <w:trPr>
          <w:cantSplit/>
        </w:trPr>
        <w:tc>
          <w:tcPr>
            <w:tcW w:type="dxa" w:w="1134"/>
            <w:gridSpan w:val="7"/>
            <w:shd w:val="clear" w:color="auto" w:fill="1B4F72"/>
          </w:tcPr>
          <w:p>
            <w:pPr>
              <w:keepNext/>
            </w:pPr>
            <w:r>
              <w:t>ETAPA 2 — Julio a noviembre · cierre en noviembre</w:t>
            </w:r>
          </w:p>
        </w:tc>
      </w:tr>
      <w:tr>
        <w:trPr>
          <w:cantSplit/>
        </w:trPr>
        <w:tc>
          <w:tcPr>
            <w:tcW w:type="dxa" w:w="1134"/>
            <w:gridSpan w:val="7"/>
            <w:shd w:val="clear" w:color="auto" w:fill="455A64"/>
          </w:tcPr>
          <w:p>
            <w:pPr>
              <w:keepNext/>
            </w:pPr>
            <w:r>
              <w:t>UNIDAD 4 — Editor de imágenes rasterizadas: entorno, capas y edición básica</w:t>
            </w:r>
            <w:r>
              <w:rPr>
                <w:b w:val="0"/>
              </w:rPr>
              <w:t xml:space="preserve"> — Capacidad: Diseña imágenes rasterizadas logrando un diseño profesional. · Edita imágenes publicitarias acorde a la necesidad de la empresa y/o para utilizarlas en otros programas.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249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La imagen rasterizada: píxeles, resolución, color y formatos</w:t>
            </w:r>
          </w:p>
        </w:tc>
        <w:tc>
          <w:tcPr>
            <w:tcW w:type="dxa" w:w="368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• Explica qué es un píxel y cómo se compone una imagen rasterizada.</w:t>
              <w:br/>
              <w:t>• Relaciona dimensiones en píxeles, ppi y tamaño físico de impresión.</w:t>
              <w:br/>
              <w:t>• Selecciona el formato de archivo adecuado según el destino de la imagen.</w:t>
            </w:r>
          </w:p>
        </w:tc>
        <w:tc>
          <w:tcPr>
            <w:tcW w:type="dxa" w:w="850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6 h</w:t>
            </w:r>
          </w:p>
        </w:tc>
        <w:tc>
          <w:tcPr>
            <w:tcW w:type="dxa" w:w="311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Ampliación progresiva de una imagen para observar el pixelado. Cálculo del tamaño de impresión a partir de dimensiones en píxeles y ppi. Comparación de formatos de salida. · Continuación en encuentro propio: Práctica 11 del Cuaderno de Laboratorio.</w:t>
            </w:r>
          </w:p>
        </w:tc>
        <w:tc>
          <w:tcPr>
            <w:tcW w:type="dxa" w:w="283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Cuestionario de cálculo de ppi y tamaño de impresión, con resolución paso a paso.</w:t>
            </w:r>
          </w:p>
        </w:tc>
        <w:tc>
          <w:tcPr>
            <w:tcW w:type="dxa" w:w="226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Julio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49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Entorno del programa y hoja de diseño: tamaño, fondo, abrir y guardar</w:t>
            </w:r>
          </w:p>
        </w:tc>
        <w:tc>
          <w:tcPr>
            <w:tcW w:type="dxa" w:w="368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• Reconoce las zonas del entorno de trabajo de un editor de imágenes.</w:t>
              <w:br/>
              <w:t>• Configura una hoja de diseño nueva con dimensiones, ppi cuando corresponda y tipo de fondo adecuados.</w:t>
              <w:br/>
              <w:t>• Aplica una rutina de guardado que preserva el archivo editable.</w:t>
            </w:r>
          </w:p>
        </w:tc>
        <w:tc>
          <w:tcPr>
            <w:tcW w:type="dxa" w:w="850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6 h</w:t>
            </w:r>
          </w:p>
        </w:tc>
        <w:tc>
          <w:tcPr>
            <w:tcW w:type="dxa" w:w="311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Recorrido guiado por las zonas del entorno del editor. Creación de hojas de diseño con distintos parámetros y verificación de su efecto en la pieza. · Continuación en encuentro propio: Práctica 12 del Cuaderno de Laboratorio.</w:t>
            </w:r>
          </w:p>
        </w:tc>
        <w:tc>
          <w:tcPr>
            <w:tcW w:type="dxa" w:w="283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Lista de cotejo de la hoja de diseño creada: dimensión en píxeles, ppi cuando corresponda, modo y fondo.</w:t>
            </w:r>
          </w:p>
        </w:tc>
        <w:tc>
          <w:tcPr>
            <w:tcW w:type="dxa" w:w="226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Agosto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249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Trabajar con capas e importar imágenes</w:t>
            </w:r>
          </w:p>
        </w:tc>
        <w:tc>
          <w:tcPr>
            <w:tcW w:type="dxa" w:w="368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• Explica el funcionamiento de las capas y su orden de apilamiento.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Organiza una composición asignando cada elemento a su propia capa.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Utiliza opacidad y modos de fusión para lograr un efecto determinado.</w:t>
            </w:r>
          </w:p>
        </w:tc>
        <w:tc>
          <w:tcPr>
            <w:tcW w:type="dxa" w:w="850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6 h</w:t>
            </w:r>
          </w:p>
        </w:tc>
        <w:tc>
          <w:tcPr>
            <w:tcW w:type="dxa" w:w="311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Armado de una composición asignando un elemento por capa. Experimentación con opacidad y modos de fusión sobre un mismo par de capas. · Continuación en encuentro propio: Práctica 13 del Cuaderno de Laboratorio.</w:t>
            </w:r>
          </w:p>
        </w:tc>
        <w:tc>
          <w:tcPr>
            <w:tcW w:type="dxa" w:w="283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Rúbrica de la composición por capas: organización, nomenclatura y uso de ajustes.</w:t>
            </w:r>
          </w:p>
        </w:tc>
        <w:tc>
          <w:tcPr>
            <w:tcW w:type="dxa" w:w="226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Agosto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249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Ajustar, recortar y trucar imágenes</w:t>
            </w:r>
          </w:p>
        </w:tc>
        <w:tc>
          <w:tcPr>
            <w:tcW w:type="dxa" w:w="368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• Aplica recortes y encuadres adecuados al destino de la pieza.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Corrige brillo, contraste y saturación con criterio publicitario.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Realiza retoques de limpieza respetando la veracidad de la información.</w:t>
            </w:r>
          </w:p>
        </w:tc>
        <w:tc>
          <w:tcPr>
            <w:tcW w:type="dxa" w:w="850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3 h</w:t>
            </w:r>
          </w:p>
        </w:tc>
        <w:tc>
          <w:tcPr>
            <w:tcW w:type="dxa" w:w="311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Taller de recorte y encuadre sobre una misma fotografía para tres destinos. Retoque de limpieza con clonado y discusión ética sobre los límites del trucaje. · Práctica 14 integrada en este mismo encuentro; evaluación de unidad al cierre.</w:t>
            </w:r>
          </w:p>
        </w:tc>
        <w:tc>
          <w:tcPr>
            <w:tcW w:type="dxa" w:w="283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Portafolio con las tres versiones de la fotografía y justificación escrita de cada recorte. · Evaluación de la Unidad 4</w:t>
            </w:r>
          </w:p>
        </w:tc>
        <w:tc>
          <w:tcPr>
            <w:tcW w:type="dxa" w:w="226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Cierre de Unidad 4 y evaluación de unidad · Setiembre</w:t>
            </w:r>
          </w:p>
        </w:tc>
      </w:tr>
      <w:tr>
        <w:trPr>
          <w:cantSplit/>
        </w:trPr>
        <w:tc>
          <w:tcPr>
            <w:tcW w:type="dxa" w:w="1134"/>
            <w:gridSpan w:val="7"/>
            <w:shd w:val="clear" w:color="auto" w:fill="455A64"/>
          </w:tcPr>
          <w:p>
            <w:pPr>
              <w:keepNext/>
            </w:pPr>
            <w:r>
              <w:t>UNIDAD 5 — Efectos, series y exportación: el pack publicitario de San Blas</w:t>
            </w:r>
            <w:r>
              <w:rPr>
                <w:b w:val="0"/>
              </w:rPr>
              <w:t xml:space="preserve"> — Capacidad: Diseña imágenes rasterizadas logrando un diseño profesional. · Edita imágenes publicitarias acorde a la necesidad de la empresa y/o para utilizarlas en otros programas.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249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Aplicación de efectos especiales y filtros en imágenes</w:t>
            </w:r>
          </w:p>
        </w:tc>
        <w:tc>
          <w:tcPr>
            <w:tcW w:type="dxa" w:w="368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• Explica qué operación realiza un filtro sobre los píxeles de la imagen.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Selecciona el filtro apropiado para un objetivo comunicacional dado.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Aplica efectos de capa manteniendo la legibilidad de la pieza.</w:t>
            </w:r>
          </w:p>
        </w:tc>
        <w:tc>
          <w:tcPr>
            <w:tcW w:type="dxa" w:w="850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6 h</w:t>
            </w:r>
          </w:p>
        </w:tc>
        <w:tc>
          <w:tcPr>
            <w:tcW w:type="dxa" w:w="311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Aplicación comparada de filtros sobre una copia de la foto del caso. Evaluación grupal de la legibilidad del texto sobre la imagen con y sin sombra. · Continuación en encuentro propio: Práctica 15 del Cuaderno de Laboratorio.</w:t>
            </w:r>
          </w:p>
        </w:tc>
        <w:tc>
          <w:tcPr>
            <w:tcW w:type="dxa" w:w="283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Escala de apreciación de la pieza: legibilidad, jerarquía del mensaje e identificación de marca.</w:t>
            </w:r>
          </w:p>
        </w:tc>
        <w:tc>
          <w:tcPr>
            <w:tcW w:type="dxa" w:w="226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Setiembre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249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Clonación, combinación de imágenes y creación de imágenes en serie</w:t>
            </w:r>
          </w:p>
        </w:tc>
        <w:tc>
          <w:tcPr>
            <w:tcW w:type="dxa" w:w="368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• Combina dos o más imágenes en una composición coherente.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Utiliza la clonación para reparar o extender áreas de una imagen.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Genera una serie de piezas con estructura común y contenido variable.</w:t>
            </w:r>
          </w:p>
        </w:tc>
        <w:tc>
          <w:tcPr>
            <w:tcW w:type="dxa" w:w="850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6 h</w:t>
            </w:r>
          </w:p>
        </w:tc>
        <w:tc>
          <w:tcPr>
            <w:tcW w:type="dxa" w:w="311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 xml:space="preserve">Construcción de un maestro A3 de 3508 × 4961 px con capas fijas y variables y adaptaciones por proporción. Producción de tres piezas de una serie a partir de esa plantilla. · Continuación en encuentro propio: Práctica 16 del Cuaderno de Laboratorio.</w:t>
            </w:r>
          </w:p>
        </w:tc>
        <w:tc>
          <w:tcPr>
            <w:tcW w:type="dxa" w:w="283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Rúbrica del archivo maestro y de la serie producida: consistencia y economía de trabajo.</w:t>
            </w:r>
          </w:p>
        </w:tc>
        <w:tc>
          <w:tcPr>
            <w:tcW w:type="dxa" w:w="226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Octubre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249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Temporización de transiciones y exportación del diseño a otros formatos</w:t>
            </w:r>
          </w:p>
        </w:tc>
        <w:tc>
          <w:tcPr>
            <w:tcW w:type="dxa" w:w="368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• Construye una secuencia animada sencilla controlando la duración de cada cuadro.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Exporta una misma pieza a los formatos y medidas que exige cada canal.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Verifica la pieza exportada antes de entregarla al cliente.</w:t>
            </w:r>
          </w:p>
        </w:tc>
        <w:tc>
          <w:tcPr>
            <w:tcW w:type="dxa" w:w="850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3 h</w:t>
            </w:r>
          </w:p>
        </w:tc>
        <w:tc>
          <w:tcPr>
            <w:tcW w:type="dxa" w:w="311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Armado de una secuencia animada de tres cuadros con temporización definida. Exportación de la pieza a las cuatro salidas del pack y verificación cruzada. · Práctica 17 integrada en este mismo encuentro; evaluación de unidad al cierre.</w:t>
            </w:r>
          </w:p>
        </w:tc>
        <w:tc>
          <w:tcPr>
            <w:tcW w:type="dxa" w:w="283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Control de las cuatro salidas exportadas contra la ficha técnica del pack. · Evaluación de la Unidad 5</w:t>
            </w:r>
          </w:p>
        </w:tc>
        <w:tc>
          <w:tcPr>
            <w:tcW w:type="dxa" w:w="226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Cierre de Unidad 5 y evaluación de unidad · Octubre</w:t>
            </w:r>
          </w:p>
        </w:tc>
      </w:tr>
      <w:tr>
        <w:trPr>
          <w:cantSplit/>
        </w:trPr>
        <w:tc>
          <w:tcPr>
            <w:tcW w:type="dxa" w:w="1134"/>
            <w:gridSpan w:val="7"/>
            <w:shd w:val="clear" w:color="auto" w:fill="455A64"/>
          </w:tcPr>
          <w:p>
            <w:pPr>
              <w:keepNext/>
            </w:pPr>
            <w:r>
              <w:t>UNIDAD 6 — Sitios web: identificación, publicación y promoción</w:t>
            </w:r>
            <w:r>
              <w:rPr>
                <w:b w:val="0"/>
              </w:rPr>
              <w:t xml:space="preserve"> — Capacidad: Identifica diferentes sitios WEB.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249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Identificación de sitios web: tipos, dirección y anatomía de una página</w:t>
            </w:r>
          </w:p>
        </w:tc>
        <w:tc>
          <w:tcPr>
            <w:tcW w:type="dxa" w:w="368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• Clasifica sitios web según su finalidad y su forma de actualización.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Interpreta las partes de una dirección web y su dominio.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Reconoce las secciones que componen la página de inicio de un sitio comercial.</w:t>
            </w:r>
          </w:p>
        </w:tc>
        <w:tc>
          <w:tcPr>
            <w:tcW w:type="dxa" w:w="850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6 h</w:t>
            </w:r>
          </w:p>
        </w:tc>
        <w:tc>
          <w:tcPr>
            <w:tcW w:type="dxa" w:w="311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Navegación comparada de sitios de distinta finalidad. Desarme colectivo de una página de inicio en sus secciones y análisis de partes de una dirección web. · Continuación en encuentro propio: Práctica 18 del Cuaderno de Laboratorio.</w:t>
            </w:r>
          </w:p>
        </w:tc>
        <w:tc>
          <w:tcPr>
            <w:tcW w:type="dxa" w:w="283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Ficha de análisis de sitios navegados, con clasificación y fundamento.</w:t>
            </w:r>
          </w:p>
        </w:tc>
        <w:tc>
          <w:tcPr>
            <w:tcW w:type="dxa" w:w="226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Octubre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249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Publicaciones en una web: contenidos, estructura y publicación del sitio</w:t>
            </w:r>
          </w:p>
        </w:tc>
        <w:tc>
          <w:tcPr>
            <w:tcW w:type="dxa" w:w="368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• Diseña el mapa de un sitio comercial pequeño y justifica su estructura.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Redacta contenidos web breves y orientados al visitante.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Enumera los pasos y requisitos para publicar un sitio.</w:t>
            </w:r>
          </w:p>
        </w:tc>
        <w:tc>
          <w:tcPr>
            <w:tcW w:type="dxa" w:w="850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6 h</w:t>
            </w:r>
          </w:p>
        </w:tc>
        <w:tc>
          <w:tcPr>
            <w:tcW w:type="dxa" w:w="311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Diseño del mapa del sitio en papel y redacción de los textos de portada. Optimización de una imagen para web y medición del peso resultante. · Continuación en encuentro propio: Práctica 19 del Cuaderno de Laboratorio.</w:t>
            </w:r>
          </w:p>
        </w:tc>
        <w:tc>
          <w:tcPr>
            <w:tcW w:type="dxa" w:w="283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Rúbrica del mapa del sitio y de los textos redactados: claridad, brevedad y utilidad.</w:t>
            </w:r>
          </w:p>
        </w:tc>
        <w:tc>
          <w:tcPr>
            <w:tcW w:type="dxa" w:w="226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Noviembre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49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Promociones en la web y presencia digital del comercio</w:t>
            </w:r>
          </w:p>
        </w:tc>
        <w:tc>
          <w:tcPr>
            <w:tcW w:type="dxa" w:w="368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• Planifica una promoción digital articulando sitio web y redes sociales.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Identifica indicadores sencillos para evaluar el resultado de una promoción.</w:t>
            </w:r>
          </w:p>
          <w:p>
            <w:pPr>
              <w:spacing w:after="20"/>
            </w:pPr>
            <w:r>
              <w:rPr>
                <w:b w:val="0"/>
                <w:sz w:val="17"/>
              </w:rPr>
              <w:t>• Reconoce obligaciones legales y buenas prácticas de la publicidad en línea.</w:t>
            </w:r>
          </w:p>
        </w:tc>
        <w:tc>
          <w:tcPr>
            <w:tcW w:type="dxa" w:w="850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3 h</w:t>
            </w:r>
          </w:p>
        </w:tc>
        <w:tc>
          <w:tcPr>
            <w:tcW w:type="dxa" w:w="311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Planificación completa de una promoción con fechas y responsables. Definición de indicadores de resultado y preparación del guion del proyecto integrador del año (exposición de tres minutos por grupos o por muestreo). · Práctica 20 integrada en este mismo encuentro; evaluación de unidad al cierre.</w:t>
            </w:r>
          </w:p>
        </w:tc>
        <w:tc>
          <w:tcPr>
            <w:tcW w:type="dxa" w:w="2835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Rúbrica del proyecto integrador del año · Evaluación de la Unidad 6.</w:t>
            </w:r>
          </w:p>
        </w:tc>
        <w:tc>
          <w:tcPr>
            <w:tcW w:type="dxa" w:w="2268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Cierre de Unidad 6 y evaluación de unidad · Noviembre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AF1F6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2494"/>
            <w:shd w:val="clear" w:color="auto" w:fill="EAF1F6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EVALUACIÓN DE LA ETAPA 2 — Del pack publicitario al sitio web de San Blas</w:t>
            </w:r>
          </w:p>
        </w:tc>
        <w:tc>
          <w:tcPr>
            <w:tcW w:type="dxa" w:w="3685"/>
            <w:shd w:val="clear" w:color="auto" w:fill="EAF1F6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• Integra los contenidos de la etapa resolviendo situaciones del caso Despensa San Blas.</w:t>
            </w:r>
          </w:p>
        </w:tc>
        <w:tc>
          <w:tcPr>
            <w:tcW w:type="dxa" w:w="850"/>
            <w:shd w:val="clear" w:color="auto" w:fill="EAF1F6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jc w:val="center"/>
            </w:pPr>
            <w:r>
              <w:rPr>
                <w:b w:val="0"/>
                <w:sz w:val="17"/>
              </w:rPr>
              <w:t>3 h</w:t>
            </w:r>
          </w:p>
        </w:tc>
        <w:tc>
          <w:tcPr>
            <w:tcW w:type="dxa" w:w="3118"/>
            <w:shd w:val="clear" w:color="auto" w:fill="EAF1F6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Prueba escrita integradora en página propia, con ítems de selección múltiple, completamiento, verdadero-falso y desarrollo.</w:t>
            </w:r>
          </w:p>
        </w:tc>
        <w:tc>
          <w:tcPr>
            <w:tcW w:type="dxa" w:w="2835"/>
            <w:shd w:val="clear" w:color="auto" w:fill="EAF1F6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Prueba escrita de la Etapa 2 (40 puntos) con clave de corrección del Solucionario.</w:t>
            </w:r>
          </w:p>
        </w:tc>
        <w:tc>
          <w:tcPr>
            <w:tcW w:type="dxa" w:w="2268"/>
            <w:shd w:val="clear" w:color="auto" w:fill="EAF1F6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b w:val="0"/>
                <w:sz w:val="17"/>
              </w:rPr>
              <w:t>Cierre de etapa</w:t>
            </w:r>
          </w:p>
        </w:tc>
      </w:tr>
    </w:tbl>
    <w:p/>
    <w:p/>
    <w:p>
      <w:r>
        <w:rPr>
          <w:b/>
          <w:color w:val="263238"/>
          <w:sz w:val="22"/>
        </w:rPr>
        <w:t>CRITERIOS GENERALES DE EVALUACIÓN</w:t>
      </w:r>
    </w:p>
    <w:p>
      <w:pPr>
        <w:spacing w:after="40"/>
      </w:pPr>
      <w:r>
        <w:t>• Se evalúa el proceso y el producto: la carga correcta en el sistema, la pieza gráfica terminada y el proyecto de sitio web, además de las pruebas escritas.</w:t>
      </w:r>
    </w:p>
    <w:p>
      <w:pPr>
        <w:spacing w:after="40"/>
      </w:pPr>
      <w:r>
        <w:t>• Cada clase aporta evidencias observables según los indicadores de logro de su ficha.</w:t>
      </w:r>
    </w:p>
    <w:p>
      <w:pPr>
        <w:spacing w:after="40"/>
      </w:pPr>
      <w:r>
        <w:t>• Las seis evaluaciones de unidad se aplican dentro de su clase de cierre; las dos evaluaciones de etapa ocupan un encuentro propio. Todas se presentan en página propia, con línea de identificación del estudiante.</w:t>
      </w:r>
    </w:p>
    <w:p>
      <w:pPr>
        <w:spacing w:after="40"/>
      </w:pPr>
      <w:r>
        <w:t>• La prueba diagnóstica de la clase 1 no lleva nota: orienta la planificación del docente.</w:t>
      </w:r>
    </w:p>
    <w:p>
      <w:pPr>
        <w:spacing w:after="40"/>
      </w:pPr>
      <w:r>
        <w:t>• El Cuaderno de Laboratorio se evalúa por portafolio: se controla la ejecución de las veinte prácticas y su punto de control.</w:t>
      </w:r>
    </w:p>
    <w:p>
      <w:pPr>
        <w:spacing w:after="40"/>
      </w:pPr>
      <w:r>
        <w:t>• Las capacidades subrayadas del programa oficial constituyen la base de la promoción en la disciplina. Según el PDF consultado, son las capacidades «Aplica…», «Diseña…» y «Edita…»; la institución confirma esta lectura.</w:t>
      </w:r>
    </w:p>
    <w:p/>
    <w:p>
      <w:r>
        <w:rPr>
          <w:b/>
          <w:color w:val="263238"/>
          <w:sz w:val="22"/>
        </w:rPr>
        <w:t>ESTRATEGIAS DE INCLUSIÓN Y ATENCIÓN A LA DIVERSIDAD</w:t>
      </w:r>
    </w:p>
    <w:p>
      <w:pPr>
        <w:spacing w:after="40"/>
      </w:pPr>
      <w:r>
        <w:t>• Las prácticas de laboratorio admiten trabajo en parejas cuando la cantidad de equipos es menor que la de estudiantes, con roles rotativos de operador y verificador.</w:t>
      </w:r>
    </w:p>
    <w:p>
      <w:pPr>
        <w:spacing w:after="40"/>
      </w:pPr>
      <w:r>
        <w:t>• Para estudiantes con baja visión se amplía el tamaño de interfaz del sistema y del editor, y se entregan las fichas impresas en cuerpo mayor.</w:t>
      </w:r>
    </w:p>
    <w:p>
      <w:pPr>
        <w:spacing w:after="40"/>
      </w:pPr>
      <w:r>
        <w:t>• Los estudiantes con menor experiencia previa en computadora reciben la guía paso a paso del Cuaderno de Laboratorio con capturas de apoyo y un compañero tutor.</w:t>
      </w:r>
    </w:p>
    <w:p>
      <w:pPr>
        <w:spacing w:after="40"/>
      </w:pPr>
      <w:r>
        <w:t>• Cuando no hay conexión disponible, las actividades del bloque de sitios web se resuelven sobre maquetas en papel y capturas provistas por el docente.</w:t>
      </w:r>
    </w:p>
    <w:p>
      <w:pPr>
        <w:keepNext/>
        <w:spacing w:after="40"/>
      </w:pPr>
      <w:r>
        <w:t>• Los tiempos de las pruebas escritas se extienden para quienes lo requieran, sin modificar los indicadores evaluados.</w:t>
      </w:r>
    </w:p>
    <w:p>
      <w:pPr>
        <w:keepNext/>
      </w:pPr>
    </w:p>
    <w:p>
      <w:pPr>
        <w:jc w:val="center"/>
      </w:pPr>
      <w:r>
        <w:rPr>
          <w:sz w:val="20"/>
        </w:rPr>
        <w:t>______________________________________</w:t>
        <w:br/>
        <w:t>Firma del docente</w:t>
      </w:r>
    </w:p>
    <w:sectPr w:rsidR="00FC693F" w:rsidRPr="0006063C" w:rsidSect="00034616">
      <w:footerReference w:type="default" r:id="rId9"/>
      <w:pgSz w:w="18709" w:h="1224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55A64"/>
        <w:sz w:val="16"/>
      </w:rPr>
      <w:t xml:space="preserve">Plan Anual · Informática · 3.er Curso · BTC   ·   Página </w:t>
    </w:r>
    <w:r>
      <w:rPr>
        <w:color w:val="455A64"/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end"/>
    </w:r>
    <w:r>
      <w:rPr>
        <w:color w:val="455A64"/>
        <w:sz w:val="16"/>
      </w:rPr>
      <w:t xml:space="preserve"> de </w:t>
    </w:r>
    <w:r>
      <w:rPr>
        <w:color w:val="455A64"/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