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48"/>
              </w:rPr>
              <w:br/>
              <w:t>ESPECIFICACIONES GRÁFICAS</w:t>
              <w:br/>
              <w:t>2.º curso</w:t>
              <w:br/>
            </w:r>
          </w:p>
        </w:tc>
      </w:tr>
    </w:tbl>
    <w:p/>
    <w:p>
      <w:pPr>
        <w:spacing w:before="0" w:after="80"/>
        <w:jc w:val="center"/>
      </w:pPr>
      <w:r>
        <w:rPr>
          <w:b/>
          <w:i w:val="0"/>
          <w:color w:val="21374D"/>
          <w:sz w:val="26"/>
        </w:rPr>
        <w:t>Historia y Geografía · Educación Media, Plan Común</w:t>
      </w:r>
    </w:p>
    <w:p>
      <w:pPr>
        <w:spacing w:before="0" w:after="80"/>
        <w:jc w:val="center"/>
      </w:pPr>
      <w:r>
        <w:rPr>
          <w:b w:val="0"/>
          <w:i w:val="0"/>
          <w:sz w:val="22"/>
        </w:rPr>
        <w:t>Plan Común · Programa del Ministerio de Educación y Ciencias</w:t>
      </w:r>
    </w:p>
    <w:p>
      <w:pPr>
        <w:spacing w:before="0" w:after="80"/>
        <w:jc w:val="center"/>
      </w:pPr>
      <w:r>
        <w:rPr>
          <w:b w:val="0"/>
          <w:i w:val="0"/>
          <w:sz w:val="23"/>
        </w:rPr>
        <w:t>Cuadernillo de trabajo del estudiante</w:t>
      </w:r>
    </w:p>
    <w:p>
      <w:pPr>
        <w:spacing w:before="0" w:after="80"/>
        <w:jc w:val="center"/>
      </w:pPr>
      <w:r>
        <w:rPr>
          <w:b w:val="0"/>
          <w:i/>
          <w:sz w:val="21"/>
        </w:rPr>
        <w:t>Enfoque constructivista «Aprender Haciendo»</w:t>
      </w:r>
    </w:p>
    <w:p/>
    <w:p>
      <w:pPr>
        <w:spacing w:before="0" w:after="80"/>
        <w:jc w:val="center"/>
      </w:pPr>
      <w:r>
        <w:rPr>
          <w:b/>
          <w:i w:val="0"/>
          <w:color w:val="3D5A80"/>
          <w:sz w:val="24"/>
        </w:rPr>
        <w:t>Siete figuras cartográficas para ejecución de diseño</w:t>
      </w:r>
    </w:p>
    <w:p>
      <w:pPr>
        <w:spacing w:before="0" w:after="80"/>
        <w:jc w:val="center"/>
      </w:pPr>
      <w:r>
        <w:rPr>
          <w:b w:val="0"/>
          <w:i/>
          <w:sz w:val="21"/>
        </w:rPr>
        <w:t>Escuchar · Hablar · Leer · Escribir</w:t>
      </w:r>
    </w:p>
    <w:p/>
    <w:p>
      <w:pPr>
        <w:spacing w:before="0" w:after="80"/>
        <w:jc w:val="center"/>
      </w:pPr>
      <w:r>
        <w:rPr>
          <w:b/>
          <w:i w:val="0"/>
          <w:sz w:val="24"/>
        </w:rPr>
        <w:t>República del Paraguay · 2026</w:t>
      </w:r>
    </w:p>
    <w:p>
      <w:r>
        <w:br w:type="page"/>
      </w:r>
    </w:p>
    <w:p>
      <w:pPr>
        <w:pStyle w:val="Heading1"/>
      </w:pPr>
      <w:r>
        <w:t>Alcance de este documento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El tomo de Historia y Geografía de 2.º curso lleva veintisiete figuras numeradas por clase. Veinte de ellas —líneas de tiempo, esquemas, diagramas de proceso y gráficos estadísticos— ya están generadas y montadas en el tomo, en la identidad PIZARRA.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Las siete restantes son cartográficas y requieren ejecución de diseño con base geográfica correcta. Este documento las especifica una por una: qué debe mostrar cada figura, para qué actividad se usa y qué errores hay que evitar. Con esta ficha, el diseñador no necesita leer el tomo para ejecutar el arte.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Cada figura se entrega con el nombre fig_U_N.png —por ejemplo, fig_2_1.png para la Figura 2.1— y se coloca en la carpeta fig/ del proyecto. El generador del tomo la inserta automáticamente en su lugar, con su lead-in y su epígrafe ya escritos: no hay que tocar el texto.</w:t>
      </w:r>
    </w:p>
    <w:p>
      <w:pPr>
        <w:pStyle w:val="Heading1"/>
      </w:pPr>
      <w:r>
        <w:t>Paleta e identidad</w:t>
      </w:r>
    </w:p>
    <w:p>
      <w:pPr>
        <w:keepNext/>
        <w:spacing w:before="0" w:after="80"/>
        <w:jc w:val="both"/>
      </w:pPr>
      <w:r>
        <w:rPr>
          <w:b/>
          <w:i w:val="0"/>
          <w:color w:val="21374D"/>
          <w:sz w:val="20"/>
        </w:rPr>
        <w:t>Cuadro 1. Identidad PIZARRA — Historia y Geografía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1247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Tinta</w:t>
            </w:r>
          </w:p>
        </w:tc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6463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Uso</w:t>
            </w:r>
          </w:p>
        </w:tc>
      </w:tr>
      <w:tr>
        <w:trPr>
          <w:cantSplit/>
        </w:trPr>
        <w:tc>
          <w:tcPr>
            <w:tcW w:type="dxa" w:w="1247"/>
          </w:tcPr>
          <w:p>
            <w:r>
              <w:rPr>
                <w:sz w:val="19"/>
              </w:rPr>
              <w:t>DARK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#21374D</w:t>
            </w:r>
          </w:p>
        </w:tc>
        <w:tc>
          <w:tcPr>
            <w:tcW w:type="dxa" w:w="6463"/>
          </w:tcPr>
          <w:p>
            <w:r>
              <w:rPr>
                <w:sz w:val="19"/>
              </w:rPr>
              <w:t>Trazos principales, marcos, texto de títulos, masas de mayor jerarquía.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F5F5"/>
          </w:tcPr>
          <w:p>
            <w:r>
              <w:rPr>
                <w:sz w:val="19"/>
              </w:rPr>
              <w:t>MED</w:t>
            </w:r>
          </w:p>
        </w:tc>
        <w:tc>
          <w:tcPr>
            <w:tcW w:type="dxa" w:w="1361"/>
            <w:shd w:val="clear" w:color="auto" w:fill="F5F5F5"/>
          </w:tcPr>
          <w:p>
            <w:r>
              <w:rPr>
                <w:sz w:val="19"/>
              </w:rPr>
              <w:t>#3D5A80</w:t>
            </w:r>
          </w:p>
        </w:tc>
        <w:tc>
          <w:tcPr>
            <w:tcW w:type="dxa" w:w="6463"/>
            <w:shd w:val="clear" w:color="auto" w:fill="F5F5F5"/>
          </w:tcPr>
          <w:p>
            <w:r>
              <w:rPr>
                <w:sz w:val="19"/>
              </w:rPr>
              <w:t>Segunda categoría, rellenos de zonas destacadas, flechas y rutas.</w:t>
            </w:r>
          </w:p>
        </w:tc>
      </w:tr>
      <w:tr>
        <w:trPr>
          <w:cantSplit/>
        </w:trPr>
        <w:tc>
          <w:tcPr>
            <w:tcW w:type="dxa" w:w="1247"/>
          </w:tcPr>
          <w:p>
            <w:r>
              <w:rPr>
                <w:sz w:val="19"/>
              </w:rPr>
              <w:t>SOFT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#6B8CAE</w:t>
            </w:r>
          </w:p>
        </w:tc>
        <w:tc>
          <w:tcPr>
            <w:tcW w:type="dxa" w:w="6463"/>
          </w:tcPr>
          <w:p>
            <w:r>
              <w:rPr>
                <w:sz w:val="19"/>
              </w:rPr>
              <w:t>Tercera categoría, cuerpos de agua, líneas auxiliares.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F5F5"/>
          </w:tcPr>
          <w:p>
            <w:r>
              <w:rPr>
                <w:sz w:val="19"/>
              </w:rPr>
              <w:t>LIGHT</w:t>
            </w:r>
          </w:p>
        </w:tc>
        <w:tc>
          <w:tcPr>
            <w:tcW w:type="dxa" w:w="1361"/>
            <w:shd w:val="clear" w:color="auto" w:fill="F5F5F5"/>
          </w:tcPr>
          <w:p>
            <w:r>
              <w:rPr>
                <w:sz w:val="19"/>
              </w:rPr>
              <w:t>#E6EBF1</w:t>
            </w:r>
          </w:p>
        </w:tc>
        <w:tc>
          <w:tcPr>
            <w:tcW w:type="dxa" w:w="6463"/>
            <w:shd w:val="clear" w:color="auto" w:fill="F5F5F5"/>
          </w:tcPr>
          <w:p>
            <w:r>
              <w:rPr>
                <w:sz w:val="19"/>
              </w:rPr>
              <w:t>Fondos, áreas neutras, base sobre la que se recorta la información.</w:t>
            </w:r>
          </w:p>
        </w:tc>
      </w:tr>
    </w:tbl>
    <w:p>
      <w:pPr>
        <w:pStyle w:val="Heading1"/>
      </w:pPr>
      <w:r>
        <w:t>Reglas comunes a las siete figuras</w:t>
      </w:r>
    </w:p>
    <w:p>
      <w:pPr>
        <w:spacing w:before="0" w:after="80"/>
        <w:jc w:val="both"/>
      </w:pPr>
      <w:r>
        <w:rPr>
          <w:b w:val="0"/>
          <w:i w:val="0"/>
          <w:sz w:val="20"/>
        </w:rPr>
        <w:t>•  Formato de entrega: PNG a 300 ppp y el vectorial editable (SVG o AI). Ancho útil de la caja de texto del tomo: 14,5 cm.</w:t>
      </w:r>
    </w:p>
    <w:p>
      <w:pPr>
        <w:spacing w:before="0" w:after="80"/>
        <w:jc w:val="both"/>
      </w:pPr>
      <w:r>
        <w:rPr>
          <w:b w:val="0"/>
          <w:i w:val="0"/>
          <w:sz w:val="20"/>
        </w:rPr>
        <w:t>•  Tipografía de rótulos: la misma familia del tomo (Calibri o equivalente de palo seco). Cuerpo mínimo 7,5 pt al tamaño final impreso.</w:t>
      </w:r>
    </w:p>
    <w:p>
      <w:pPr>
        <w:spacing w:before="0" w:after="80"/>
        <w:jc w:val="both"/>
      </w:pPr>
      <w:r>
        <w:rPr>
          <w:b w:val="0"/>
          <w:i w:val="0"/>
          <w:sz w:val="20"/>
        </w:rPr>
        <w:t>•  Paleta cerrada: sólo las cuatro tintas PIZARRA más blanco y un gris #595959 para notas al pie de figura. No se agregan colores nuevos.</w:t>
      </w:r>
    </w:p>
    <w:p>
      <w:pPr>
        <w:spacing w:before="0" w:after="80"/>
        <w:jc w:val="both"/>
      </w:pPr>
      <w:r>
        <w:rPr>
          <w:b w:val="0"/>
          <w:i w:val="0"/>
          <w:sz w:val="20"/>
        </w:rPr>
        <w:t>•  La figura no repite el epígrafe: el epígrafe lo pone el tomo debajo de la imagen. Dentro del arte va sólo el rotulado interno.</w:t>
      </w:r>
    </w:p>
    <w:p>
      <w:pPr>
        <w:spacing w:before="0" w:after="80"/>
        <w:jc w:val="both"/>
      </w:pPr>
      <w:r>
        <w:rPr>
          <w:b w:val="0"/>
          <w:i w:val="0"/>
          <w:sz w:val="20"/>
        </w:rPr>
        <w:t>•  Toda figura con datos lleva, dentro del arte, una línea de fuente en gris de 6,5 pt.</w:t>
      </w:r>
    </w:p>
    <w:p>
      <w:pPr>
        <w:spacing w:before="0" w:after="80"/>
        <w:jc w:val="both"/>
      </w:pPr>
      <w:r>
        <w:rPr>
          <w:b w:val="0"/>
          <w:i w:val="0"/>
          <w:sz w:val="20"/>
        </w:rPr>
        <w:t>•  Ningún mapa lleva escala decorativa: si se incluye escala o rosa de los vientos, deben ser correctas.</w:t>
      </w:r>
    </w:p>
    <w:p>
      <w:pPr>
        <w:spacing w:before="0" w:after="80"/>
        <w:jc w:val="both"/>
      </w:pPr>
      <w:r>
        <w:rPr>
          <w:b w:val="0"/>
          <w:i w:val="0"/>
          <w:sz w:val="20"/>
        </w:rPr>
        <w:t>•  Los topónimos van en castellano y con la grafía oficial usada en el tomo.</w:t>
      </w:r>
    </w:p>
    <w:p>
      <w:pPr>
        <w:spacing w:before="0" w:after="80"/>
        <w:jc w:val="both"/>
      </w:pPr>
      <w:r>
        <w:rPr>
          <w:b w:val="0"/>
          <w:i w:val="0"/>
          <w:sz w:val="20"/>
        </w:rPr>
        <w:t>•  Prohibido el relleno decorativo: cada color y cada trama deben estar explicados en la referencia de la propia figura.</w:t>
      </w:r>
    </w:p>
    <w:p>
      <w:r>
        <w:br w:type="page"/>
      </w:r>
    </w:p>
    <w:p>
      <w:pPr>
        <w:pStyle w:val="Heading1"/>
      </w:pPr>
      <w:r>
        <w:t>Figura 2.1 — El reparto colonial de África hacia 1914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803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Contenido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rPr>
                <w:sz w:val="19"/>
              </w:rPr>
              <w:t>Ubicación en el tomo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Clase 2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5F5F5"/>
          </w:tcPr>
          <w:p>
            <w:r>
              <w:rPr>
                <w:sz w:val="19"/>
              </w:rPr>
              <w:t>Tipo de figura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9"/>
              </w:rPr>
              <w:t>Mapa temático de un continente, con referencia de colores.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rPr>
                <w:sz w:val="19"/>
              </w:rPr>
              <w:t>Archivo esperado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fig_2_1.png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D5A80"/>
          <w:left w:val="single" w:sz="6" w:space="0" w:color="3D5A80"/>
          <w:bottom w:val="single" w:sz="6" w:space="0" w:color="3D5A80"/>
          <w:right w:val="single" w:sz="6" w:space="0" w:color="3D5A80"/>
          <w:insideH w:val="none"/>
          <w:insideV w:val="none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6EBF1"/>
          </w:tcPr>
          <w:p>
            <w:pPr>
              <w:keepNext/>
            </w:pPr>
            <w:r>
              <w:rPr>
                <w:b/>
                <w:color w:val="3D5A80"/>
                <w:sz w:val="22"/>
              </w:rPr>
              <w:t>Qué debe mostrar</w:t>
            </w:r>
          </w:p>
          <w:p>
            <w:pPr>
              <w:keepNext/>
              <w:jc w:val="both"/>
            </w:pPr>
            <w:r>
              <w:rPr>
                <w:sz w:val="20"/>
              </w:rPr>
              <w:t>Contorno del continente africano con las fronteras coloniales vigentes hacia 1914.</w:t>
            </w:r>
          </w:p>
        </w:tc>
      </w:tr>
      <w:tr>
        <w:trPr>
          <w:cantSplit/>
        </w:trPr>
        <w:tc>
          <w:tcPr>
            <w:tcW w:type="dxa" w:w="9412"/>
            <w:shd w:val="clear" w:color="auto" w:fill="E6EBF1"/>
          </w:tcPr>
          <w:p>
            <w:pPr>
              <w:keepNext/>
              <w:jc w:val="both"/>
            </w:pPr>
            <w:r>
              <w:rPr>
                <w:sz w:val="20"/>
              </w:rPr>
              <w:t>Relleno por potencia colonial: Reino Unido, Francia, Alemania, Bélgica, Portugal, Italia y España, con una tinta o trama distinta para cada una dentro de la paleta.</w:t>
            </w:r>
          </w:p>
        </w:tc>
      </w:tr>
      <w:tr>
        <w:trPr>
          <w:cantSplit/>
        </w:trPr>
        <w:tc>
          <w:tcPr>
            <w:tcW w:type="dxa" w:w="9412"/>
            <w:shd w:val="clear" w:color="auto" w:fill="E6EBF1"/>
          </w:tcPr>
          <w:p>
            <w:pPr>
              <w:keepNext/>
              <w:jc w:val="both"/>
            </w:pPr>
            <w:r>
              <w:rPr>
                <w:sz w:val="20"/>
              </w:rPr>
              <w:t>Etiopía y Liberia destacadas como los dos únicos territorios independientes, con el rótulo visible.</w:t>
            </w:r>
          </w:p>
        </w:tc>
      </w:tr>
      <w:tr>
        <w:trPr>
          <w:cantSplit/>
        </w:trPr>
        <w:tc>
          <w:tcPr>
            <w:tcW w:type="dxa" w:w="9412"/>
            <w:shd w:val="clear" w:color="auto" w:fill="E6EBF1"/>
          </w:tcPr>
          <w:p>
            <w:pPr>
              <w:jc w:val="both"/>
            </w:pPr>
            <w:r>
              <w:rPr>
                <w:sz w:val="20"/>
              </w:rPr>
              <w:t>Referencia lateral que asocie cada trama con su potencia.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D5A80"/>
          <w:left w:val="single" w:sz="6" w:space="0" w:color="3D5A80"/>
          <w:bottom w:val="single" w:sz="6" w:space="0" w:color="3D5A80"/>
          <w:right w:val="single" w:sz="6" w:space="0" w:color="3D5A80"/>
          <w:insideH w:val="none"/>
          <w:insideV w:val="none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6EBF1"/>
          </w:tcPr>
          <w:p>
            <w:r>
              <w:rPr>
                <w:b/>
                <w:color w:val="3D5A80"/>
                <w:sz w:val="22"/>
              </w:rPr>
              <w:t>Ejemplo — Para qué se usa en clase</w:t>
            </w:r>
          </w:p>
          <w:p>
            <w:pPr>
              <w:jc w:val="both"/>
            </w:pPr>
            <w:r>
              <w:rPr>
                <w:sz w:val="20"/>
              </w:rPr>
              <w:t>La actividad pide identificar qué potencia domina el norte, el centro y la franja sur, y ubicar los dos territorios independientes. Todo eso debe poder resolverse mirando el mapa.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D5A80"/>
          <w:left w:val="single" w:sz="6" w:space="0" w:color="3D5A80"/>
          <w:bottom w:val="single" w:sz="6" w:space="0" w:color="3D5A80"/>
          <w:right w:val="single" w:sz="6" w:space="0" w:color="3D5A80"/>
          <w:insideH w:val="none"/>
          <w:insideV w:val="none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6EBF1"/>
          </w:tcPr>
          <w:p>
            <w:r>
              <w:rPr>
                <w:b/>
                <w:color w:val="3D5A80"/>
                <w:sz w:val="22"/>
              </w:rPr>
              <w:t>En Paraguay — Qué evitar</w:t>
            </w:r>
          </w:p>
          <w:p>
            <w:pPr>
              <w:jc w:val="both"/>
            </w:pPr>
            <w:r>
              <w:rPr>
                <w:sz w:val="20"/>
              </w:rPr>
              <w:t>No incluir fronteras actuales ni nombres de países posteriores a la descolonización: confundiría la lectura del período.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Figura 6.1 — Europa antes (1914) y después (1919) de la Primera Guerra Mundial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803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Contenido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rPr>
                <w:sz w:val="19"/>
              </w:rPr>
              <w:t>Ubicación en el tomo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Clase 6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5F5F5"/>
          </w:tcPr>
          <w:p>
            <w:r>
              <w:rPr>
                <w:sz w:val="19"/>
              </w:rPr>
              <w:t>Tipo de figura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9"/>
              </w:rPr>
              <w:t>Dos mapas comparados, lado a lado, con la misma escala y el mismo encuadre.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rPr>
                <w:sz w:val="19"/>
              </w:rPr>
              <w:t>Archivo esperado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fig_6_1.png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D5A80"/>
          <w:left w:val="single" w:sz="6" w:space="0" w:color="3D5A80"/>
          <w:bottom w:val="single" w:sz="6" w:space="0" w:color="3D5A80"/>
          <w:right w:val="single" w:sz="6" w:space="0" w:color="3D5A80"/>
          <w:insideH w:val="none"/>
          <w:insideV w:val="none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6EBF1"/>
          </w:tcPr>
          <w:p>
            <w:pPr>
              <w:keepNext/>
            </w:pPr>
            <w:r>
              <w:rPr>
                <w:b/>
                <w:color w:val="3D5A80"/>
                <w:sz w:val="22"/>
              </w:rPr>
              <w:t>Qué debe mostrar</w:t>
            </w:r>
          </w:p>
          <w:p>
            <w:pPr>
              <w:keepNext/>
              <w:jc w:val="both"/>
            </w:pPr>
            <w:r>
              <w:rPr>
                <w:sz w:val="20"/>
              </w:rPr>
              <w:t>Mapa izquierdo, 1914: los cuatro imperios —alemán, austrohúngaro, ruso y otomano— identificados con rótulo y tinta propia.</w:t>
            </w:r>
          </w:p>
        </w:tc>
      </w:tr>
      <w:tr>
        <w:trPr>
          <w:cantSplit/>
        </w:trPr>
        <w:tc>
          <w:tcPr>
            <w:tcW w:type="dxa" w:w="9412"/>
            <w:shd w:val="clear" w:color="auto" w:fill="E6EBF1"/>
          </w:tcPr>
          <w:p>
            <w:pPr>
              <w:keepNext/>
              <w:jc w:val="both"/>
            </w:pPr>
            <w:r>
              <w:rPr>
                <w:sz w:val="20"/>
              </w:rPr>
              <w:t>Mapa derecho, 1919: los Estados surgidos del tratado, con Polonia, Checoslovaquia, Yugoslavia, Austria, Hungría, Finlandia y los países bálticos rotulados.</w:t>
            </w:r>
          </w:p>
        </w:tc>
      </w:tr>
      <w:tr>
        <w:trPr>
          <w:cantSplit/>
        </w:trPr>
        <w:tc>
          <w:tcPr>
            <w:tcW w:type="dxa" w:w="9412"/>
            <w:shd w:val="clear" w:color="auto" w:fill="E6EBF1"/>
          </w:tcPr>
          <w:p>
            <w:pPr>
              <w:jc w:val="both"/>
            </w:pPr>
            <w:r>
              <w:rPr>
                <w:sz w:val="20"/>
              </w:rPr>
              <w:t>Los cuatro imperios desaparecidos marcados de manera que se pueda comparar de un vistazo con el mapa de la derecha.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D5A80"/>
          <w:left w:val="single" w:sz="6" w:space="0" w:color="3D5A80"/>
          <w:bottom w:val="single" w:sz="6" w:space="0" w:color="3D5A80"/>
          <w:right w:val="single" w:sz="6" w:space="0" w:color="3D5A80"/>
          <w:insideH w:val="none"/>
          <w:insideV w:val="none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6EBF1"/>
          </w:tcPr>
          <w:p>
            <w:r>
              <w:rPr>
                <w:b/>
                <w:color w:val="3D5A80"/>
                <w:sz w:val="22"/>
              </w:rPr>
              <w:t>Ejemplo — Para qué se usa en clase</w:t>
            </w:r>
          </w:p>
          <w:p>
            <w:pPr>
              <w:jc w:val="both"/>
            </w:pPr>
            <w:r>
              <w:rPr>
                <w:sz w:val="20"/>
              </w:rPr>
              <w:t>La consigna pide nombrar tres Estados que aparecen en 1919 y no existían en 1914; la comparación debe resolverse sin texto auxiliar.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D5A80"/>
          <w:left w:val="single" w:sz="6" w:space="0" w:color="3D5A80"/>
          <w:bottom w:val="single" w:sz="6" w:space="0" w:color="3D5A80"/>
          <w:right w:val="single" w:sz="6" w:space="0" w:color="3D5A80"/>
          <w:insideH w:val="none"/>
          <w:insideV w:val="none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6EBF1"/>
          </w:tcPr>
          <w:p>
            <w:r>
              <w:rPr>
                <w:b/>
                <w:color w:val="3D5A80"/>
                <w:sz w:val="22"/>
              </w:rPr>
              <w:t>En Paraguay — Qué evitar</w:t>
            </w:r>
          </w:p>
          <w:p>
            <w:pPr>
              <w:jc w:val="both"/>
            </w:pPr>
            <w:r>
              <w:rPr>
                <w:sz w:val="20"/>
              </w:rPr>
              <w:t>No usar dos escalas ni dos encuadres distintos: la comparación exige que ambos mapas se superpongan mentalmente.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Figura 10.1 — El mundo bipolar hacia 1960: bloques y países no alineados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803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Contenido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rPr>
                <w:sz w:val="19"/>
              </w:rPr>
              <w:t>Ubicación en el tomo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Clase 10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5F5F5"/>
          </w:tcPr>
          <w:p>
            <w:r>
              <w:rPr>
                <w:sz w:val="19"/>
              </w:rPr>
              <w:t>Tipo de figura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9"/>
              </w:rPr>
              <w:t>Planisferio temático con tres categorías.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rPr>
                <w:sz w:val="19"/>
              </w:rPr>
              <w:t>Archivo esperado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fig_10_1.png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D5A80"/>
          <w:left w:val="single" w:sz="6" w:space="0" w:color="3D5A80"/>
          <w:bottom w:val="single" w:sz="6" w:space="0" w:color="3D5A80"/>
          <w:right w:val="single" w:sz="6" w:space="0" w:color="3D5A80"/>
          <w:insideH w:val="none"/>
          <w:insideV w:val="none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6EBF1"/>
          </w:tcPr>
          <w:p>
            <w:pPr>
              <w:keepNext/>
            </w:pPr>
            <w:r>
              <w:rPr>
                <w:b/>
                <w:color w:val="3D5A80"/>
                <w:sz w:val="22"/>
              </w:rPr>
              <w:t>Qué debe mostrar</w:t>
            </w:r>
          </w:p>
          <w:p>
            <w:pPr>
              <w:keepNext/>
              <w:jc w:val="both"/>
            </w:pPr>
            <w:r>
              <w:rPr>
                <w:sz w:val="20"/>
              </w:rPr>
              <w:t>Bloque occidental, bloque oriental y países no alineados, cada uno con una tinta de la paleta y su referencia.</w:t>
            </w:r>
          </w:p>
        </w:tc>
      </w:tr>
      <w:tr>
        <w:trPr>
          <w:cantSplit/>
        </w:trPr>
        <w:tc>
          <w:tcPr>
            <w:tcW w:type="dxa" w:w="9412"/>
            <w:shd w:val="clear" w:color="auto" w:fill="E6EBF1"/>
          </w:tcPr>
          <w:p>
            <w:pPr>
              <w:keepNext/>
              <w:jc w:val="both"/>
            </w:pPr>
            <w:r>
              <w:rPr>
                <w:sz w:val="20"/>
              </w:rPr>
              <w:t>Línea del telón de acero trazada sobre Europa, con rótulo.</w:t>
            </w:r>
          </w:p>
        </w:tc>
      </w:tr>
      <w:tr>
        <w:trPr>
          <w:cantSplit/>
        </w:trPr>
        <w:tc>
          <w:tcPr>
            <w:tcW w:type="dxa" w:w="9412"/>
            <w:shd w:val="clear" w:color="auto" w:fill="E6EBF1"/>
          </w:tcPr>
          <w:p>
            <w:pPr>
              <w:keepNext/>
              <w:jc w:val="both"/>
            </w:pPr>
            <w:r>
              <w:rPr>
                <w:sz w:val="20"/>
              </w:rPr>
              <w:t>Berlín señalada con un llamador dentro del territorio del bloque oriental: es el punto que la actividad pide explicar.</w:t>
            </w:r>
          </w:p>
        </w:tc>
      </w:tr>
      <w:tr>
        <w:trPr>
          <w:cantSplit/>
        </w:trPr>
        <w:tc>
          <w:tcPr>
            <w:tcW w:type="dxa" w:w="9412"/>
            <w:shd w:val="clear" w:color="auto" w:fill="E6EBF1"/>
          </w:tcPr>
          <w:p>
            <w:pPr>
              <w:jc w:val="both"/>
            </w:pPr>
            <w:r>
              <w:rPr>
                <w:sz w:val="20"/>
              </w:rPr>
              <w:t>Al menos tres países no alineados rotulados con su nombre.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D5A80"/>
          <w:left w:val="single" w:sz="6" w:space="0" w:color="3D5A80"/>
          <w:bottom w:val="single" w:sz="6" w:space="0" w:color="3D5A80"/>
          <w:right w:val="single" w:sz="6" w:space="0" w:color="3D5A80"/>
          <w:insideH w:val="none"/>
          <w:insideV w:val="none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6EBF1"/>
          </w:tcPr>
          <w:p>
            <w:r>
              <w:rPr>
                <w:b/>
                <w:color w:val="3D5A80"/>
                <w:sz w:val="22"/>
              </w:rPr>
              <w:t>Ejemplo — Para qué se usa en clase</w:t>
            </w:r>
          </w:p>
          <w:p>
            <w:pPr>
              <w:jc w:val="both"/>
            </w:pPr>
            <w:r>
              <w:rPr>
                <w:sz w:val="20"/>
              </w:rPr>
              <w:t>La consigna pide identificar la línea del telón de acero, ubicar los países del Pacto de Varsovia y señalar tres no alineados; y explicar por qué Berlín fue el punto más tenso.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D5A80"/>
          <w:left w:val="single" w:sz="6" w:space="0" w:color="3D5A80"/>
          <w:bottom w:val="single" w:sz="6" w:space="0" w:color="3D5A80"/>
          <w:right w:val="single" w:sz="6" w:space="0" w:color="3D5A80"/>
          <w:insideH w:val="none"/>
          <w:insideV w:val="none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6EBF1"/>
          </w:tcPr>
          <w:p>
            <w:r>
              <w:rPr>
                <w:b/>
                <w:color w:val="3D5A80"/>
                <w:sz w:val="22"/>
              </w:rPr>
              <w:t>En Paraguay — Qué evitar</w:t>
            </w:r>
          </w:p>
          <w:p>
            <w:pPr>
              <w:jc w:val="both"/>
            </w:pPr>
            <w:r>
              <w:rPr>
                <w:sz w:val="20"/>
              </w:rPr>
              <w:t>No representar la Guerra Fría como dos bloques únicamente: la existencia visible del tercer grupo es el punto pedagógico de la figura.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Figura 19.1 — Las obras del Estado modernizador (1841-1862)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803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Contenido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rPr>
                <w:sz w:val="19"/>
              </w:rPr>
              <w:t>Ubicación en el tomo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Clase 19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5F5F5"/>
          </w:tcPr>
          <w:p>
            <w:r>
              <w:rPr>
                <w:sz w:val="19"/>
              </w:rPr>
              <w:t>Tipo de figura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9"/>
              </w:rPr>
              <w:t>Mapa del Paraguay con localización de obras, escala nacional.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rPr>
                <w:sz w:val="19"/>
              </w:rPr>
              <w:t>Archivo esperado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fig_19_1.png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D5A80"/>
          <w:left w:val="single" w:sz="6" w:space="0" w:color="3D5A80"/>
          <w:bottom w:val="single" w:sz="6" w:space="0" w:color="3D5A80"/>
          <w:right w:val="single" w:sz="6" w:space="0" w:color="3D5A80"/>
          <w:insideH w:val="none"/>
          <w:insideV w:val="none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6EBF1"/>
          </w:tcPr>
          <w:p>
            <w:pPr>
              <w:keepNext/>
            </w:pPr>
            <w:r>
              <w:rPr>
                <w:b/>
                <w:color w:val="3D5A80"/>
                <w:sz w:val="22"/>
              </w:rPr>
              <w:t>Qué debe mostrar</w:t>
            </w:r>
          </w:p>
          <w:p>
            <w:pPr>
              <w:keepNext/>
              <w:jc w:val="both"/>
            </w:pPr>
            <w:r>
              <w:rPr>
                <w:sz w:val="20"/>
              </w:rPr>
              <w:t>Contorno del país con las dos regiones naturales diferenciadas y los ríos Paraguay y Paraná trazados.</w:t>
            </w:r>
          </w:p>
        </w:tc>
      </w:tr>
      <w:tr>
        <w:trPr>
          <w:cantSplit/>
        </w:trPr>
        <w:tc>
          <w:tcPr>
            <w:tcW w:type="dxa" w:w="9412"/>
            <w:shd w:val="clear" w:color="auto" w:fill="E6EBF1"/>
          </w:tcPr>
          <w:p>
            <w:pPr>
              <w:keepNext/>
              <w:jc w:val="both"/>
            </w:pPr>
            <w:r>
              <w:rPr>
                <w:sz w:val="20"/>
              </w:rPr>
              <w:t>Localización de Asunción, de la fundición de Ybycuí y del trazado del primer tramo ferroviario Asunción-Trinidad.</w:t>
            </w:r>
          </w:p>
        </w:tc>
      </w:tr>
      <w:tr>
        <w:trPr>
          <w:cantSplit/>
        </w:trPr>
        <w:tc>
          <w:tcPr>
            <w:tcW w:type="dxa" w:w="9412"/>
            <w:shd w:val="clear" w:color="auto" w:fill="E6EBF1"/>
          </w:tcPr>
          <w:p>
            <w:pPr>
              <w:keepNext/>
              <w:jc w:val="both"/>
            </w:pPr>
            <w:r>
              <w:rPr>
                <w:sz w:val="20"/>
              </w:rPr>
              <w:t>Astillero de Asunción y línea telegráfica señalados con símbolo propio y referencia.</w:t>
            </w:r>
          </w:p>
        </w:tc>
      </w:tr>
      <w:tr>
        <w:trPr>
          <w:cantSplit/>
        </w:trPr>
        <w:tc>
          <w:tcPr>
            <w:tcW w:type="dxa" w:w="9412"/>
            <w:shd w:val="clear" w:color="auto" w:fill="E6EBF1"/>
          </w:tcPr>
          <w:p>
            <w:pPr>
              <w:jc w:val="both"/>
            </w:pPr>
            <w:r>
              <w:rPr>
                <w:sz w:val="20"/>
              </w:rPr>
              <w:t>Sombreado tenue del Chaco para mostrar que las obras se concentran en la Región Oriental.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D5A80"/>
          <w:left w:val="single" w:sz="6" w:space="0" w:color="3D5A80"/>
          <w:bottom w:val="single" w:sz="6" w:space="0" w:color="3D5A80"/>
          <w:right w:val="single" w:sz="6" w:space="0" w:color="3D5A80"/>
          <w:insideH w:val="none"/>
          <w:insideV w:val="none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6EBF1"/>
          </w:tcPr>
          <w:p>
            <w:r>
              <w:rPr>
                <w:b/>
                <w:color w:val="3D5A80"/>
                <w:sz w:val="22"/>
              </w:rPr>
              <w:t>Ejemplo — Para qué se usa en clase</w:t>
            </w:r>
          </w:p>
          <w:p>
            <w:pPr>
              <w:jc w:val="both"/>
            </w:pPr>
            <w:r>
              <w:rPr>
                <w:sz w:val="20"/>
              </w:rPr>
              <w:t>La actividad pregunta por qué las obras se concentran en esa región y no en el Chaco: el contraste debe ser visible sin leer el texto.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D5A80"/>
          <w:left w:val="single" w:sz="6" w:space="0" w:color="3D5A80"/>
          <w:bottom w:val="single" w:sz="6" w:space="0" w:color="3D5A80"/>
          <w:right w:val="single" w:sz="6" w:space="0" w:color="3D5A80"/>
          <w:insideH w:val="none"/>
          <w:insideV w:val="none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6EBF1"/>
          </w:tcPr>
          <w:p>
            <w:r>
              <w:rPr>
                <w:b/>
                <w:color w:val="3D5A80"/>
                <w:sz w:val="22"/>
              </w:rPr>
              <w:t>En Paraguay — Qué evitar</w:t>
            </w:r>
          </w:p>
          <w:p>
            <w:pPr>
              <w:jc w:val="both"/>
            </w:pPr>
            <w:r>
              <w:rPr>
                <w:sz w:val="20"/>
              </w:rPr>
              <w:t>No incluir obras posteriores a 1864 ni la red ferroviaria completa del siglo XX.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Figura 21.1 — Las independencias americanas y sus fechas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803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Contenido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rPr>
                <w:sz w:val="19"/>
              </w:rPr>
              <w:t>Ubicación en el tomo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Clase 21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5F5F5"/>
          </w:tcPr>
          <w:p>
            <w:r>
              <w:rPr>
                <w:sz w:val="19"/>
              </w:rPr>
              <w:t>Tipo de figura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9"/>
              </w:rPr>
              <w:t>Mapa de América con año de independencia por país.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rPr>
                <w:sz w:val="19"/>
              </w:rPr>
              <w:t>Archivo esperado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fig_21_1.png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D5A80"/>
          <w:left w:val="single" w:sz="6" w:space="0" w:color="3D5A80"/>
          <w:bottom w:val="single" w:sz="6" w:space="0" w:color="3D5A80"/>
          <w:right w:val="single" w:sz="6" w:space="0" w:color="3D5A80"/>
          <w:insideH w:val="none"/>
          <w:insideV w:val="none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6EBF1"/>
          </w:tcPr>
          <w:p>
            <w:pPr>
              <w:keepNext/>
            </w:pPr>
            <w:r>
              <w:rPr>
                <w:b/>
                <w:color w:val="3D5A80"/>
                <w:sz w:val="22"/>
              </w:rPr>
              <w:t>Qué debe mostrar</w:t>
            </w:r>
          </w:p>
          <w:p>
            <w:pPr>
              <w:keepNext/>
              <w:jc w:val="both"/>
            </w:pPr>
            <w:r>
              <w:rPr>
                <w:sz w:val="20"/>
              </w:rPr>
              <w:t>Contorno de los países americanos actuales con su año de independencia rotulado.</w:t>
            </w:r>
          </w:p>
        </w:tc>
      </w:tr>
      <w:tr>
        <w:trPr>
          <w:cantSplit/>
        </w:trPr>
        <w:tc>
          <w:tcPr>
            <w:tcW w:type="dxa" w:w="9412"/>
            <w:shd w:val="clear" w:color="auto" w:fill="E6EBF1"/>
          </w:tcPr>
          <w:p>
            <w:pPr>
              <w:keepNext/>
              <w:jc w:val="both"/>
            </w:pPr>
            <w:r>
              <w:rPr>
                <w:sz w:val="20"/>
              </w:rPr>
              <w:t>Tres casos destacados con tinta DARK y llamador: Haití (1804), Brasil (1822, con monarquía) y Paraguay (1811, sin derramamiento de sangre).</w:t>
            </w:r>
          </w:p>
        </w:tc>
      </w:tr>
      <w:tr>
        <w:trPr>
          <w:cantSplit/>
        </w:trPr>
        <w:tc>
          <w:tcPr>
            <w:tcW w:type="dxa" w:w="9412"/>
            <w:shd w:val="clear" w:color="auto" w:fill="E6EBF1"/>
          </w:tcPr>
          <w:p>
            <w:pPr>
              <w:keepNext/>
              <w:jc w:val="both"/>
            </w:pPr>
            <w:r>
              <w:rPr>
                <w:sz w:val="20"/>
              </w:rPr>
              <w:t>Cuba y Puerto Rico diferenciados por su independencia tardía (1898).</w:t>
            </w:r>
          </w:p>
        </w:tc>
      </w:tr>
      <w:tr>
        <w:trPr>
          <w:cantSplit/>
        </w:trPr>
        <w:tc>
          <w:tcPr>
            <w:tcW w:type="dxa" w:w="9412"/>
            <w:shd w:val="clear" w:color="auto" w:fill="E6EBF1"/>
          </w:tcPr>
          <w:p>
            <w:pPr>
              <w:jc w:val="both"/>
            </w:pPr>
            <w:r>
              <w:rPr>
                <w:sz w:val="20"/>
              </w:rPr>
              <w:t>Nota interna que aclare que las fechas corresponden a la declaración o al hecho fundacional reconocido por cada país.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D5A80"/>
          <w:left w:val="single" w:sz="6" w:space="0" w:color="3D5A80"/>
          <w:bottom w:val="single" w:sz="6" w:space="0" w:color="3D5A80"/>
          <w:right w:val="single" w:sz="6" w:space="0" w:color="3D5A80"/>
          <w:insideH w:val="none"/>
          <w:insideV w:val="none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6EBF1"/>
          </w:tcPr>
          <w:p>
            <w:r>
              <w:rPr>
                <w:b/>
                <w:color w:val="3D5A80"/>
                <w:sz w:val="22"/>
              </w:rPr>
              <w:t>Ejemplo — Para qué se usa en clase</w:t>
            </w:r>
          </w:p>
          <w:p>
            <w:pPr>
              <w:jc w:val="both"/>
            </w:pPr>
            <w:r>
              <w:rPr>
                <w:sz w:val="20"/>
              </w:rPr>
              <w:t>La consigna pide escribir el año junto a cada país y marcar los tres casos singulares con otro color: la figura debe dejar espacio para esa intervención del estudiante.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D5A80"/>
          <w:left w:val="single" w:sz="6" w:space="0" w:color="3D5A80"/>
          <w:bottom w:val="single" w:sz="6" w:space="0" w:color="3D5A80"/>
          <w:right w:val="single" w:sz="6" w:space="0" w:color="3D5A80"/>
          <w:insideH w:val="none"/>
          <w:insideV w:val="none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6EBF1"/>
          </w:tcPr>
          <w:p>
            <w:r>
              <w:rPr>
                <w:b/>
                <w:color w:val="3D5A80"/>
                <w:sz w:val="22"/>
              </w:rPr>
              <w:t>En Paraguay — Qué evitar</w:t>
            </w:r>
          </w:p>
          <w:p>
            <w:pPr>
              <w:jc w:val="both"/>
            </w:pPr>
            <w:r>
              <w:rPr>
                <w:sz w:val="20"/>
              </w:rPr>
              <w:t>No fusionar países que se independizaron dentro de una unidad mayor sin aclararlo, como los que integraron la Gran Colombia o las Provincias Unidas.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Figura 26.1 — El MERCOSUR y las salidas al océano de la producción paraguaya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803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Contenido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rPr>
                <w:sz w:val="19"/>
              </w:rPr>
              <w:t>Ubicación en el tomo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Clase 26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5F5F5"/>
          </w:tcPr>
          <w:p>
            <w:r>
              <w:rPr>
                <w:sz w:val="19"/>
              </w:rPr>
              <w:t>Tipo de figura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9"/>
              </w:rPr>
              <w:t>Mapa regional con rutas de exportación.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rPr>
                <w:sz w:val="19"/>
              </w:rPr>
              <w:t>Archivo esperado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fig_26_1.png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D5A80"/>
          <w:left w:val="single" w:sz="6" w:space="0" w:color="3D5A80"/>
          <w:bottom w:val="single" w:sz="6" w:space="0" w:color="3D5A80"/>
          <w:right w:val="single" w:sz="6" w:space="0" w:color="3D5A80"/>
          <w:insideH w:val="none"/>
          <w:insideV w:val="none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6EBF1"/>
          </w:tcPr>
          <w:p>
            <w:pPr>
              <w:keepNext/>
            </w:pPr>
            <w:r>
              <w:rPr>
                <w:b/>
                <w:color w:val="3D5A80"/>
                <w:sz w:val="22"/>
              </w:rPr>
              <w:t>Qué debe mostrar</w:t>
            </w:r>
          </w:p>
          <w:p>
            <w:pPr>
              <w:keepNext/>
              <w:jc w:val="both"/>
            </w:pPr>
            <w:r>
              <w:rPr>
                <w:sz w:val="20"/>
              </w:rPr>
              <w:t>Estados parte del MERCOSUR diferenciados de los Estados asociados.</w:t>
            </w:r>
          </w:p>
        </w:tc>
      </w:tr>
      <w:tr>
        <w:trPr>
          <w:cantSplit/>
        </w:trPr>
        <w:tc>
          <w:tcPr>
            <w:tcW w:type="dxa" w:w="9412"/>
            <w:shd w:val="clear" w:color="auto" w:fill="E6EBF1"/>
          </w:tcPr>
          <w:p>
            <w:pPr>
              <w:keepNext/>
              <w:jc w:val="both"/>
            </w:pPr>
            <w:r>
              <w:rPr>
                <w:sz w:val="20"/>
              </w:rPr>
              <w:t>Hidrovía Paraguay-Paraná trazada desde los puertos paraguayos hasta el Río de la Plata, con sentido de circulación.</w:t>
            </w:r>
          </w:p>
        </w:tc>
      </w:tr>
      <w:tr>
        <w:trPr>
          <w:cantSplit/>
        </w:trPr>
        <w:tc>
          <w:tcPr>
            <w:tcW w:type="dxa" w:w="9412"/>
            <w:shd w:val="clear" w:color="auto" w:fill="E6EBF1"/>
          </w:tcPr>
          <w:p>
            <w:pPr>
              <w:keepNext/>
              <w:jc w:val="both"/>
            </w:pPr>
            <w:r>
              <w:rPr>
                <w:sz w:val="20"/>
              </w:rPr>
              <w:t>Puertos de salida señalados y la ruta terrestre alternativa hacia puertos del Brasil y de Chile.</w:t>
            </w:r>
          </w:p>
        </w:tc>
      </w:tr>
      <w:tr>
        <w:trPr>
          <w:cantSplit/>
        </w:trPr>
        <w:tc>
          <w:tcPr>
            <w:tcW w:type="dxa" w:w="9412"/>
            <w:shd w:val="clear" w:color="auto" w:fill="E6EBF1"/>
          </w:tcPr>
          <w:p>
            <w:pPr>
              <w:jc w:val="both"/>
            </w:pPr>
            <w:r>
              <w:rPr>
                <w:sz w:val="20"/>
              </w:rPr>
              <w:t>Llamador sobre la condición mediterránea del Paraguay: ningún punto del país toca el océano.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D5A80"/>
          <w:left w:val="single" w:sz="6" w:space="0" w:color="3D5A80"/>
          <w:bottom w:val="single" w:sz="6" w:space="0" w:color="3D5A80"/>
          <w:right w:val="single" w:sz="6" w:space="0" w:color="3D5A80"/>
          <w:insideH w:val="none"/>
          <w:insideV w:val="none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6EBF1"/>
          </w:tcPr>
          <w:p>
            <w:r>
              <w:rPr>
                <w:b/>
                <w:color w:val="3D5A80"/>
                <w:sz w:val="22"/>
              </w:rPr>
              <w:t>Ejemplo — Para qué se usa en clase</w:t>
            </w:r>
          </w:p>
          <w:p>
            <w:pPr>
              <w:jc w:val="both"/>
            </w:pPr>
            <w:r>
              <w:rPr>
                <w:sz w:val="20"/>
              </w:rPr>
              <w:t>La actividad pide trazar la ruta de una tonelada de soja hasta el océano y contar por cuántos países pasa: la figura debe permitir ese conteo.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D5A80"/>
          <w:left w:val="single" w:sz="6" w:space="0" w:color="3D5A80"/>
          <w:bottom w:val="single" w:sz="6" w:space="0" w:color="3D5A80"/>
          <w:right w:val="single" w:sz="6" w:space="0" w:color="3D5A80"/>
          <w:insideH w:val="none"/>
          <w:insideV w:val="none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6EBF1"/>
          </w:tcPr>
          <w:p>
            <w:r>
              <w:rPr>
                <w:b/>
                <w:color w:val="3D5A80"/>
                <w:sz w:val="22"/>
              </w:rPr>
              <w:t>En Paraguay — Qué evitar</w:t>
            </w:r>
          </w:p>
          <w:p>
            <w:pPr>
              <w:jc w:val="both"/>
            </w:pPr>
            <w:r>
              <w:rPr>
                <w:sz w:val="20"/>
              </w:rPr>
              <w:t>No representar la hidrovía como una línea recta: su trazado real es parte del argumento sobre costos logísticos.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Figura 28.1 — Recursos naturales y actividades económicas del Paraguay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803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Contenido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rPr>
                <w:sz w:val="19"/>
              </w:rPr>
              <w:t>Ubicación en el tomo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Clase 28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5F5F5"/>
          </w:tcPr>
          <w:p>
            <w:r>
              <w:rPr>
                <w:sz w:val="19"/>
              </w:rPr>
              <w:t>Tipo de figura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9"/>
              </w:rPr>
              <w:t>Mapa temático nacional con simbología de actividades.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rPr>
                <w:sz w:val="19"/>
              </w:rPr>
              <w:t>Archivo esperado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fig_28_1.png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D5A80"/>
          <w:left w:val="single" w:sz="6" w:space="0" w:color="3D5A80"/>
          <w:bottom w:val="single" w:sz="6" w:space="0" w:color="3D5A80"/>
          <w:right w:val="single" w:sz="6" w:space="0" w:color="3D5A80"/>
          <w:insideH w:val="none"/>
          <w:insideV w:val="none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6EBF1"/>
          </w:tcPr>
          <w:p>
            <w:pPr>
              <w:keepNext/>
            </w:pPr>
            <w:r>
              <w:rPr>
                <w:b/>
                <w:color w:val="3D5A80"/>
                <w:sz w:val="22"/>
              </w:rPr>
              <w:t>Qué debe mostrar</w:t>
            </w:r>
          </w:p>
          <w:p>
            <w:pPr>
              <w:keepNext/>
              <w:jc w:val="both"/>
            </w:pPr>
            <w:r>
              <w:rPr>
                <w:sz w:val="20"/>
              </w:rPr>
              <w:t>Las dos regiones naturales, Oriental y Occidental o Chaco, con tintas distintas y rótulo.</w:t>
            </w:r>
          </w:p>
        </w:tc>
      </w:tr>
      <w:tr>
        <w:trPr>
          <w:cantSplit/>
        </w:trPr>
        <w:tc>
          <w:tcPr>
            <w:tcW w:type="dxa" w:w="9412"/>
            <w:shd w:val="clear" w:color="auto" w:fill="E6EBF1"/>
          </w:tcPr>
          <w:p>
            <w:pPr>
              <w:keepNext/>
              <w:jc w:val="both"/>
            </w:pPr>
            <w:r>
              <w:rPr>
                <w:sz w:val="20"/>
              </w:rPr>
              <w:t>Represas de Itaipú, Yacyretá y Acaray localizadas con símbolo propio.</w:t>
            </w:r>
          </w:p>
        </w:tc>
      </w:tr>
      <w:tr>
        <w:trPr>
          <w:cantSplit/>
        </w:trPr>
        <w:tc>
          <w:tcPr>
            <w:tcW w:type="dxa" w:w="9412"/>
            <w:shd w:val="clear" w:color="auto" w:fill="E6EBF1"/>
          </w:tcPr>
          <w:p>
            <w:pPr>
              <w:keepNext/>
              <w:jc w:val="both"/>
            </w:pPr>
            <w:r>
              <w:rPr>
                <w:sz w:val="20"/>
              </w:rPr>
              <w:t>Zona de mayor producción de soja y zona de mayor concentración ganadera, con tramas diferenciadas y referencia.</w:t>
            </w:r>
          </w:p>
        </w:tc>
      </w:tr>
      <w:tr>
        <w:trPr>
          <w:cantSplit/>
        </w:trPr>
        <w:tc>
          <w:tcPr>
            <w:tcW w:type="dxa" w:w="9412"/>
            <w:shd w:val="clear" w:color="auto" w:fill="E6EBF1"/>
          </w:tcPr>
          <w:p>
            <w:pPr>
              <w:keepNext/>
              <w:jc w:val="both"/>
            </w:pPr>
            <w:r>
              <w:rPr>
                <w:sz w:val="20"/>
              </w:rPr>
              <w:t>Extensión aproximada del Acuífero Guaraní, aclarando que es compartido con la Argentina, el Brasil y el Uruguay.</w:t>
            </w:r>
          </w:p>
        </w:tc>
      </w:tr>
      <w:tr>
        <w:trPr>
          <w:cantSplit/>
        </w:trPr>
        <w:tc>
          <w:tcPr>
            <w:tcW w:type="dxa" w:w="9412"/>
            <w:shd w:val="clear" w:color="auto" w:fill="E6EBF1"/>
          </w:tcPr>
          <w:p>
            <w:pPr>
              <w:jc w:val="both"/>
            </w:pPr>
            <w:r>
              <w:rPr>
                <w:sz w:val="20"/>
              </w:rPr>
              <w:t>Ríos Paraguay y Paraná trazados y rotulados.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D5A80"/>
          <w:left w:val="single" w:sz="6" w:space="0" w:color="3D5A80"/>
          <w:bottom w:val="single" w:sz="6" w:space="0" w:color="3D5A80"/>
          <w:right w:val="single" w:sz="6" w:space="0" w:color="3D5A80"/>
          <w:insideH w:val="none"/>
          <w:insideV w:val="none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6EBF1"/>
          </w:tcPr>
          <w:p>
            <w:r>
              <w:rPr>
                <w:b/>
                <w:color w:val="3D5A80"/>
                <w:sz w:val="22"/>
              </w:rPr>
              <w:t>Ejemplo — Para qué se usa en clase</w:t>
            </w:r>
          </w:p>
          <w:p>
            <w:pPr>
              <w:jc w:val="both"/>
            </w:pPr>
            <w:r>
              <w:rPr>
                <w:sz w:val="20"/>
              </w:rPr>
              <w:t>La consigna pide identificar las dos regiones, ubicar las represas y señalar dónde se concentra cada actividad: los tres datos deben leerse por separado y sin ambigüedad.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D5A80"/>
          <w:left w:val="single" w:sz="6" w:space="0" w:color="3D5A80"/>
          <w:bottom w:val="single" w:sz="6" w:space="0" w:color="3D5A80"/>
          <w:right w:val="single" w:sz="6" w:space="0" w:color="3D5A80"/>
          <w:insideH w:val="none"/>
          <w:insideV w:val="none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6EBF1"/>
          </w:tcPr>
          <w:p>
            <w:r>
              <w:rPr>
                <w:b/>
                <w:color w:val="3D5A80"/>
                <w:sz w:val="22"/>
              </w:rPr>
              <w:t>En Paraguay — Qué evitar</w:t>
            </w:r>
          </w:p>
          <w:p>
            <w:pPr>
              <w:jc w:val="both"/>
            </w:pPr>
            <w:r>
              <w:rPr>
                <w:sz w:val="20"/>
              </w:rPr>
              <w:t>No superponer más de tres capas temáticas: la figura pierde legibilidad y la actividad deja de poder resolverse.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Control de recepción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Antes de dar por aceptada cada figura conviene verificar seis puntos: que el arte no repita el epígrafe; que todos los colores y tramas estén explicados en la referencia propia de la figura; que los rótulos se lean a 14,5 cm de ancho impreso; que la actividad de la clase pueda resolverse mirando sólo la figura; que no haya elementos posteriores al período representado; y que la paleta se mantenga dentro de las cuatro tintas.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Recibidos los siete archivos en fig/, se vuelve a construir el tomo y las veintisiete figuras quedan montadas. El recuento de imágenes embebidas debe pasar de veinte a veintisiete.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end"/>
    </w:r>
    <w:r>
      <w:rPr>
        <w:sz w:val="18"/>
      </w:rPr>
      <w:t xml:space="preserve"> de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137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137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3D5A8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