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sectPr>
          <w:pgSz w:w="12240" w:h="18720"/>
          <w:pgMar w:top="720" w:right="720" w:bottom="720" w:left="720" w:header="0" w:footer="0" w:gutter="0"/>
        </w:sectP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_anual.png"/>
                    <pic:cNvPicPr/>
                  </pic:nvPicPr>
                  <pic:blipFill>
                    <a:blip r:embed="rId10"/>
                    <a:stretch>
                      <a:fillRect/>
                    </a:stretch>
                  </pic:blipFill>
                  <pic:spPr>
                    <a:xfrm>
                      <a:off x="0" y="0"/>
                      <a:ext cx="7776000" cy="11880000"/>
                    </a:xfrm>
                    <a:prstGeom prst="rect"/>
                  </pic:spPr>
                </pic:pic>
              </a:graphicData>
            </a:graphic>
          </wp:anchor>
        </w:drawing>
      </w:r>
    </w:p>
    <w:p>
      <w:pPr>
        <w:spacing w:before="600"/>
        <w:jc w:val="center"/>
      </w:pPr>
      <w:r>
        <w:rPr>
          <w:b/>
          <w:color w:val="5C2D91"/>
          <w:sz w:val="50"/>
        </w:rPr>
        <w:t>PLAN ANUAL DETALLADO</w:t>
      </w:r>
    </w:p>
    <w:p>
      <w:pPr>
        <w:jc w:val="center"/>
      </w:pPr>
      <w:r>
        <w:rPr>
          <w:b/>
          <w:sz w:val="30"/>
        </w:rPr>
        <w:t>DESARROLLO PERSONAL Y SOCIAL · 7.º GRADO</w:t>
      </w:r>
    </w:p>
    <w:p>
      <w:pPr>
        <w:jc w:val="center"/>
      </w:pPr>
      <w:r>
        <w:rPr>
          <w:sz w:val="22"/>
        </w:rPr>
        <w:t>Educación Escolar Básica · Tercer Ciclo · República del Paraguay · 2026</w:t>
      </w:r>
    </w:p>
    <w:tbl>
      <w:tblPr>
        <w:tblW w:type="auto" w:w="0"/>
        <w:jc w:val="center"/>
        <w:tblLook w:firstColumn="1" w:firstRow="1" w:lastColumn="0" w:lastRow="0" w:noHBand="0" w:noVBand="1" w:val="04A0"/>
        <w:tblBorders>
          <w:top w:val="single" w:sz="7" w:color="5C2D91"/>
          <w:left w:val="single" w:sz="7" w:color="5C2D91"/>
          <w:bottom w:val="single" w:sz="7" w:color="5C2D91"/>
          <w:right w:val="single" w:sz="7" w:color="5C2D91"/>
          <w:insideH w:val="single" w:sz="7" w:color="5C2D91"/>
          <w:insideV w:val="single" w:sz="7" w:color="5C2D91"/>
        </w:tblBorders>
      </w:tblPr>
      <w:tblGrid>
        <w:gridCol w:w="7712"/>
        <w:gridCol w:w="7712"/>
      </w:tblGrid>
      <w:tr>
        <w:tc>
          <w:tcPr>
            <w:tcW w:type="dxa" w:w="771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8"/>
              </w:rPr>
              <w:t>Carga horaria</w:t>
            </w:r>
          </w:p>
        </w:tc>
        <w:tc>
          <w:tcPr>
            <w:tcW w:type="dxa" w:w="7712"/>
            <w:vAlign w:val="center"/>
            <w:tcMar>
              <w:top w:w="42" w:type="dxa"/>
              <w:start w:w="42" w:type="dxa"/>
              <w:bottom w:w="42" w:type="dxa"/>
              <w:end w:w="42" w:type="dxa"/>
            </w:tcMar>
          </w:tcPr>
          <w:p>
            <w:pPr>
              <w:spacing w:before="0" w:after="0" w:line="230" w:lineRule="auto"/>
              <w:jc w:val="center"/>
            </w:pPr>
            <w:r>
              <w:rPr>
                <w:rFonts w:ascii="Aptos" w:hAnsi="Aptos"/>
                <w:b/>
                <w:color w:val="3E2458"/>
                <w:sz w:val="18"/>
              </w:rPr>
              <w:t>3 HC semanales · HC de 40 minutos</w:t>
            </w:r>
          </w:p>
        </w:tc>
      </w:tr>
      <w:tr>
        <w:tc>
          <w:tcPr>
            <w:tcW w:type="dxa" w:w="771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8"/>
              </w:rPr>
              <w:t>Arquitectura anual</w:t>
            </w:r>
          </w:p>
        </w:tc>
        <w:tc>
          <w:tcPr>
            <w:tcW w:type="dxa" w:w="7712"/>
            <w:vAlign w:val="center"/>
            <w:tcMar>
              <w:top w:w="42" w:type="dxa"/>
              <w:start w:w="42" w:type="dxa"/>
              <w:bottom w:w="42" w:type="dxa"/>
              <w:end w:w="42" w:type="dxa"/>
            </w:tcMar>
          </w:tcPr>
          <w:p>
            <w:pPr>
              <w:spacing w:before="0" w:after="0" w:line="230" w:lineRule="auto"/>
              <w:jc w:val="center"/>
            </w:pPr>
            <w:r>
              <w:rPr>
                <w:rFonts w:ascii="Aptos" w:hAnsi="Aptos"/>
                <w:b/>
                <w:color w:val="3E2458"/>
                <w:sz w:val="18"/>
              </w:rPr>
              <w:t>36 encuentros / 108 HC · 18 + 18</w:t>
            </w:r>
          </w:p>
        </w:tc>
      </w:tr>
      <w:tr>
        <w:tc>
          <w:tcPr>
            <w:tcW w:type="dxa" w:w="7712"/>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8"/>
              </w:rPr>
              <w:t>Composición</w:t>
            </w:r>
          </w:p>
        </w:tc>
        <w:tc>
          <w:tcPr>
            <w:tcW w:type="dxa" w:w="7712"/>
            <w:vAlign w:val="center"/>
            <w:tcMar>
              <w:top w:w="42" w:type="dxa"/>
              <w:start w:w="42" w:type="dxa"/>
              <w:bottom w:w="42" w:type="dxa"/>
              <w:end w:w="42" w:type="dxa"/>
            </w:tcMar>
          </w:tcPr>
          <w:p>
            <w:pPr>
              <w:spacing w:before="0" w:after="0" w:line="230" w:lineRule="auto"/>
              <w:jc w:val="center"/>
            </w:pPr>
            <w:r>
              <w:rPr>
                <w:rFonts w:ascii="Aptos" w:hAnsi="Aptos"/>
                <w:b/>
                <w:color w:val="3E2458"/>
                <w:sz w:val="18"/>
              </w:rPr>
              <w:t xml:space="preserve">21 clases temáticas (Orientación Educacional y Vocacional) + 6 talleres del Proyecto Educativo Comunitario (encuentros 4, 21, 23, 26, 29 y 32) + 7 evaluaciones de unidad + 2 integradoras = 36 encuentros. Las continuaciones prácticas del tomo quedan como actividades complementarias opcionales.</w:t>
            </w:r>
          </w:p>
        </w:tc>
      </w:tr>
    </w:tbl>
    <w:p>
      <w:pPr>
        <w:spacing w:before="100" w:after="20"/>
      </w:pPr>
      <w:r>
        <w:rPr>
          <w:b/>
          <w:color w:val="5C2D91"/>
          <w:sz w:val="24"/>
        </w:rPr>
        <w:t>Criterios generales de planificación</w:t>
      </w:r>
    </w:p>
    <w:p>
      <w:pPr>
        <w:spacing w:after="20"/>
        <w:ind w:left="173"/>
      </w:pPr>
      <w:r>
        <w:rPr>
          <w:sz w:val="17"/>
        </w:rPr>
        <w:t>• El área es reflexivo-vivencial: se priorizan participación, reflexión, aplicación y producción por sobre la memorización.</w:t>
      </w:r>
    </w:p>
    <w:p>
      <w:pPr>
        <w:spacing w:after="20"/>
        <w:ind w:left="173"/>
      </w:pPr>
      <w:r>
        <w:rPr>
          <w:sz w:val="17"/>
        </w:rPr>
        <w:t>• Las consignas «Mirate» son privadas, sin nota y no se exponen.</w:t>
      </w:r>
    </w:p>
    <w:p>
      <w:pPr>
        <w:spacing w:after="20"/>
        <w:ind w:left="173"/>
      </w:pPr>
      <w:r>
        <w:rPr>
          <w:sz w:val="17"/>
        </w:rPr>
        <w:t>• Las siete evaluaciones de unidad son encuentros independientes e incluyen devolución y refuerzo.</w:t>
      </w:r>
    </w:p>
    <w:p>
      <w:pPr>
        <w:spacing w:after="20"/>
        <w:ind w:left="173"/>
      </w:pPr>
      <w:r>
        <w:rPr>
          <w:sz w:val="17"/>
        </w:rPr>
        <w:t>• Las reglas de evaluación/promoción y participación institucional se consultan en fuentes vigentes; no se congelan porcentajes ni procedimientos universales.</w:t>
      </w:r>
    </w:p>
    <w:p>
      <w:pPr>
        <w:spacing w:after="20"/>
        <w:ind w:left="173"/>
      </w:pPr>
      <w:r>
        <w:rPr>
          <w:sz w:val="17"/>
        </w:rPr>
        <w:t>• En gestión de riesgo el estudiante observa, reporta y sigue protocolos: no manipula cableado, tableros, sustancias, instalaciones ni materiales peligrosos.</w:t>
      </w:r>
    </w:p>
    <w:p>
      <w:pPr>
        <w:spacing w:before="100" w:after="20"/>
      </w:pPr>
      <w:r>
        <w:rPr>
          <w:b/>
          <w:color w:val="5C2D91"/>
          <w:sz w:val="24"/>
        </w:rPr>
        <w:t>Distribución por etapas</w:t>
      </w:r>
    </w:p>
    <w:p>
      <w:pPr>
        <w:spacing w:after="20"/>
        <w:ind w:left="173"/>
      </w:pPr>
      <w:r>
        <w:rPr>
          <w:sz w:val="17"/>
        </w:rPr>
        <w:t>• 1.ª etapa: encuentros 1–18 · febrero–junio · 54 HC.</w:t>
      </w:r>
    </w:p>
    <w:p>
      <w:pPr>
        <w:spacing w:after="20"/>
        <w:ind w:left="173"/>
      </w:pPr>
      <w:r>
        <w:rPr>
          <w:sz w:val="17"/>
        </w:rPr>
        <w:t>• 2.ª etapa: encuentros 19–36 · julio–noviembre · 54 HC.</w:t>
      </w:r>
    </w:p>
    <w:p>
      <w:r>
        <w:br w:type="page"/>
      </w:r>
    </w:p>
    <w:p>
      <w:pPr>
        <w:spacing w:after="60"/>
        <w:jc w:val="center"/>
      </w:pPr>
      <w:r>
        <w:rPr>
          <w:b/>
          <w:color w:val="5C2D91"/>
          <w:sz w:val="24"/>
        </w:rPr>
        <w:t>1.ª ETAPA · febrero–junio  |  UNIDAD 1  |  Encuentros 1–5</w:t>
      </w:r>
    </w:p>
    <w:p>
      <w:pPr>
        <w:spacing w:after="40"/>
      </w:pPr>
      <w:r>
        <w:rPr>
          <w:b/>
          <w:color w:val="3E2458"/>
          <w:sz w:val="16"/>
        </w:rPr>
        <w:t xml:space="preserve">Unidad 1 · febrero–marzo · Capacidades (programa MEC): «Valora la importancia de integrarse y pertenecer a la comunidad educativa.» «Reconoce la organización interna de la institución educativa.»</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El sentido de pertenencia. Historia e identidad de la institución.</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Explica con sus palabras qué significa pertenecer a una comunidad educativa.</w:t>
              <w:br/>
              <w:t>• Reconoce elementos de la historia e identidad de su institución.</w:t>
              <w:br/>
              <w:t>• Expresa qué aporta él o ella al grupo del que forma parte.</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diagnóstica de saberes previos. Diálogo inicial sobre el ingreso al tercer ciclo; lectura guiada; construcción de un mural de pertenencia del grado.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diagnóstica. Registro de participación; mural colectivo; preguntas orales.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Organigrama, miembros, funciones y dependencias de la institución.</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Identifica a los principales miembros de la institución y sus funciones.</w:t>
              <w:br/>
              <w:t>• Interpreta un organigrama sencillo de su colegio.</w:t>
              <w:br/>
              <w:t>• Reconoce las dependencias de la institución y para qué sirven.</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Lectura e interpretación de un organigrama; recorrido de las funciones del colegio; elaboración del organigrama real.</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Organigrama elaborado por el grado; identificación de miembros y funciones.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El Proyecto Educativo Institucional (PEI). Normas de convivencia.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Explica para qué sirve el Proyecto Educativo Institucional.</w:t>
              <w:br/>
              <w:t>• Reconoce las características de una buena norma de convivencia.</w:t>
              <w:br/>
              <w:t>• Participa en la elaboración de normas de convivencia del grado.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del PEI; construcción participativa de normas de convivencia siguiendo los cuatro pasos; redacción de acuerdos del grado.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Normas de convivencia elaboradas y expuestas; registro de participación.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4</w:t>
            </w:r>
          </w:p>
        </w:tc>
        <w:tc>
          <w:tcPr>
            <w:tcW w:type="dxa" w:w="2946"/>
            <w:vAlign w:val="center"/>
            <w:tcMar>
              <w:top w:w="42" w:type="dxa"/>
              <w:start w:w="42" w:type="dxa"/>
              <w:bottom w:w="42" w:type="dxa"/>
              <w:end w:w="42" w:type="dxa"/>
            </w:tcMar>
          </w:tcPr>
          <w:p>
            <w:pPr>
              <w:spacing w:after="0" w:before="0"/>
            </w:pPr>
            <w:r>
              <w:rPr>
                <w:rFonts w:ascii="Calibri" w:hAnsi="Calibri"/>
                <w:sz w:val="17"/>
              </w:rPr>
              <w:t xml:space="preserve">Taller PEC A — Mirar antes de actuar. Diagnóstico participativo de necesidades. Capacidades del área vinculadas (programa MEC): «Valora la importancia de integrarse y pertenecer a la comunidad educativa.» «Reconoce la organización interna de la institución educativa.» Indicadores: elaboración editorial.</w:t>
            </w:r>
          </w:p>
        </w:tc>
        <w:tc>
          <w:tcPr>
            <w:tcW w:type="dxa" w:w="3116"/>
            <w:vAlign w:val="center"/>
            <w:tcMar>
              <w:top w:w="42" w:type="dxa"/>
              <w:start w:w="42" w:type="dxa"/>
              <w:bottom w:w="42" w:type="dxa"/>
              <w:end w:w="42" w:type="dxa"/>
            </w:tcMar>
          </w:tcPr>
          <w:p>
            <w:pPr>
              <w:spacing w:after="0" w:before="0"/>
            </w:pPr>
            <w:r>
              <w:rPr>
                <w:rFonts w:ascii="Calibri" w:hAnsi="Calibri"/>
                <w:sz w:val="16"/>
              </w:rPr>
              <w:t>• Identifica necesidades con hechos comprobables y lenguaje respetuoso, sin datos personales.</w:t>
              <w:br/>
              <w:t>• Participa de manera segura, respetuosa y responsable.</w:t>
            </w:r>
          </w:p>
        </w:tc>
        <w:tc>
          <w:tcPr>
            <w:tcW w:type="dxa" w:w="680"/>
            <w:vAlign w:val="center"/>
            <w:tcMar>
              <w:top w:w="42" w:type="dxa"/>
              <w:start w:w="42" w:type="dxa"/>
              <w:bottom w:w="42" w:type="dxa"/>
              <w:end w:w="42" w:type="dxa"/>
            </w:tcMar>
          </w:tcPr>
          <w:p>
            <w:pPr>
              <w:spacing w:after="0" w:before="0"/>
            </w:pPr>
            <w:r>
              <w:rPr>
                <w:rFonts w:ascii="Calibri" w:hAnsi="Calibri"/>
                <w:sz w:val="18"/>
              </w:rPr>
              <w:t>3 HC</w:t>
            </w:r>
          </w:p>
        </w:tc>
        <w:tc>
          <w:tcPr>
            <w:tcW w:type="dxa" w:w="2904"/>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A del tomo. Elaboración guiada de Ficha 1.</w:t>
            </w:r>
          </w:p>
        </w:tc>
        <w:tc>
          <w:tcPr>
            <w:tcW w:type="dxa" w:w="2904"/>
            <w:vAlign w:val="center"/>
            <w:tcMar>
              <w:top w:w="42" w:type="dxa"/>
              <w:start w:w="42" w:type="dxa"/>
              <w:bottom w:w="42" w:type="dxa"/>
              <w:end w:w="42" w:type="dxa"/>
            </w:tcMar>
          </w:tcPr>
          <w:p>
            <w:pPr>
              <w:spacing w:after="0" w:before="0"/>
            </w:pPr>
            <w:r>
              <w:rPr>
                <w:rFonts w:ascii="Calibri" w:hAnsi="Calibri"/>
                <w:sz w:val="16"/>
              </w:rPr>
              <w:t>Ficha PEC 1: diagnóstico, fuentes autorizadas y evidencias sin identificación de menores.</w:t>
            </w:r>
          </w:p>
        </w:tc>
        <w:tc>
          <w:tcPr>
            <w:tcW w:type="dxa" w:w="1416"/>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5</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1: Sentido de pertenencia.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1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1.ª ETAPA · febrero–junio  |  UNIDAD 2  |  Encuentros 6–9</w:t>
      </w:r>
    </w:p>
    <w:p>
      <w:pPr>
        <w:spacing w:after="40"/>
      </w:pPr>
      <w:r>
        <w:rPr>
          <w:b/>
          <w:color w:val="3E2458"/>
          <w:sz w:val="16"/>
        </w:rPr>
        <w:t xml:space="preserve">Unidad 2 · marzo–abril · Capacidades (programa MEC): «Reconoce sus fortalezas, debilidades, intereses, habilidades y oportunidades para construir su proyecto de vida.» «Expresa su habilidad de sentir, pensar y actuar como elementos que se observan en el proceso del autoconocimiento.»</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6</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El autoconocimiento. Técnicas y procesos.</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Identifica algunas de sus fortalezas y áreas a mejorar.</w:t>
              <w:br/>
              <w:t>• Distingue entre intereses y habilidades.</w:t>
              <w:br/>
              <w:t>• Aplica una técnica sencilla de autoconocimiento.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Aplicación de una técnica de autoconocimiento; dinámica «escritos en la espalda»; listado de fortalezas e intereses.</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Ficha personal de fortalezas; participación en la dinámica.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7</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Autoestima, autovaloración y asertividad.</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Explica qué es la autoestima y cómo se construye.</w:t>
              <w:br/>
              <w:t>• Diferencia una respuesta pasiva, agresiva y asertiva.</w:t>
              <w:br/>
              <w:t>• Reconoce actitudes que fortalecen su autovaloración.</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 casos de respuestas pasiva/agresiva/asertiva; juego de roles; reconocimiento de la escalera de la autoestima.</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Dramatización de respuestas asertivas; identificación de peldaños.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8</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Pensamiento crítico y objetivo. El proyecto de vida.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Relaciona el sentir, el pensar y el actuar en una situación.</w:t>
              <w:br/>
              <w:t>• Explica qué es el pensamiento crítico.</w:t>
              <w:br/>
              <w:t>• Bosqueja una primera versión de su proyecto de vida.</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sentir-pensar-actuar; verificación de una noticia; bosquejo privado de la línea del proyecto de vida.</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Ejercicio de verificación; línea personal de uso privado y no expuesta.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9</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2: Autoconocimiento.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2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1.ª ETAPA · febrero–junio  |  UNIDAD 3  |  Encuentros 10–13</w:t>
      </w:r>
    </w:p>
    <w:p>
      <w:pPr>
        <w:spacing w:after="40"/>
      </w:pPr>
      <w:r>
        <w:rPr>
          <w:b/>
          <w:color w:val="3E2458"/>
          <w:sz w:val="16"/>
        </w:rPr>
        <w:t xml:space="preserve">Unidad 3 · abril–mayo · Capacidades (programa MEC): «Valora la relación afectiva positiva entre los miembros de la familia y de su entorno.» «Analiza las causas y las consecuencias del uso y abuso de la tecnología como elemento que afecta la relación personal directa y afectiva (celulares, Internet, otros) en el marco de la convivencia familiar y/ social.» «Reconoce que los cambios que se generan en la pubertad y en la adolescencia forman parte de una etapa de la vida.»</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10</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Relaciones afectivas saludables (familia, amistades, compañeros). El noviazgo en la adolescencia.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características de una relación afectiva saludable.</w:t>
              <w:br/>
              <w:t>• Diferencia el buen trato del maltrato en los vínculos.</w:t>
              <w:br/>
              <w:t>• Reflexiona sobre el respeto y el compromiso en el noviazgo adolescente.</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 señales de buen trato y maltrato; elaboración de listas de alerta; debate sobre el noviazgo saludable.</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Cuadro de señales; participación en el debate.</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11</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Influencia emocional, positiva y negativa, de los celulares e internet y sus redes sociales.</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usos positivos y negativos de la tecnología en los vínculos.</w:t>
              <w:br/>
              <w:t>• Aplica criterios para una convivencia digital respetuosa.</w:t>
              <w:br/>
              <w:t>• Identifica situaciones de riesgo en las redes y a quién recurrir.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 usos positivos/negativos de las redes; aplicación del semáforo digital; elaboración del decálogo del buen uso.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Decálogo del buen uso de las redes; resolución de casos.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12</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Influencia de los cambios en la afectividad. Formas de afrontarlos.</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los cambios físicos, emocionales y sociales de la adolescencia.</w:t>
              <w:br/>
              <w:t>• Comprende que estos cambios son frecuentes en la adolescencia y varían entre personas.</w:t>
              <w:br/>
              <w:t>• Propone formas saludables de afrontar los cambios.</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Reconocimiento de los cambios de la adolescencia; buzón anónimo de preguntas; propuesta de formas de afrontarlos.</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Aportes al buzón anónimo; participación respetuosa.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13</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3: Vida afectiva.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3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1.ª ETAPA · febrero–junio  |  UNIDAD 4  |  Encuentros 14–18</w:t>
      </w:r>
    </w:p>
    <w:p>
      <w:pPr>
        <w:spacing w:after="40"/>
      </w:pPr>
      <w:r>
        <w:rPr>
          <w:b/>
          <w:color w:val="3E2458"/>
          <w:sz w:val="16"/>
        </w:rPr>
        <w:t xml:space="preserve">Unidad 4 · mayo–junio · Capacidades (programa MEC): «Analiza los artículos referentes a sus derechos y sus responsabilidades considerando su formación como ciudadano.» «Reflexiona sobre los principales artículos relacionados con la No discriminación, expresados en el Código de la Niñez y la Adolescencia, la convención de los Derechos Humanos y de los Derechos sexuales y Derechos reproductivos.» «Reconoce la importancia de conocer las leyes que protegen a los niños, las niñas y los adolescentes. y, además, que cada derecho lleva implícito una responsabilidad.»</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14</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Código de la Niñez y la Adolescencia. Derechos Humanos.</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derechos fundamentales de niños, niñas y adolescentes.</w:t>
              <w:br/>
              <w:t>• Relaciona cada derecho con una responsabilidad.</w:t>
              <w:br/>
              <w:t>• Identifica la ley que protege a la niñez y la adolescencia en Paraguay.</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Lectura de derechos del Código de la Niñez; asociación derecho-responsabilidad; trabajo grupal por derecho.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Cuadro derecho-responsabilidad; exposición grupal.</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15</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El respeto como valor universal. Respeto a la diversidad. Tolerancia.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Explica qué es la discriminación y por qué es injusta.</w:t>
              <w:br/>
              <w:t>• Reconoce el respeto y la tolerancia como valores para la convivencia.</w:t>
              <w:br/>
              <w:t>• Propone acciones para una convivencia sin discriminación.</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 casos de discriminación; distinción respeto/tolerancia; propuesta de acciones sin discriminación.</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Propuestas de convivencia; análisis de una noticia.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16</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Identificación de responsabilidades a partir de los derechos. Instituciones de protección.</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Identifica instituciones que protegen los derechos de la niñez.</w:t>
              <w:br/>
              <w:t>• Reconoce la ruta de ayuda ante una situación que lo afecta.</w:t>
              <w:br/>
              <w:t>• Valora que pedir ayuda es un acto de cuidado, no de debilidad.</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Identificación de la ruta de ayuda; elaboración del cartel «mi red de protección» con datos de contacto.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Cartel de la red de protección; reconocimiento de instituciones.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17</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4: Derechos y responsabilidades.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4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18</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integradora de la 1.ª etapa (Unidades 1 a 4)</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Integra los indicadores de las unidades de la etapa.</w:t>
              <w:br/>
              <w:t>• Explica los conceptos centrales de las Unidades 1 a 4 con sus palabras.</w:t>
              <w:br/>
              <w:t>• Analiza situaciones de convivencia, vínculos y derechos, y propone una respuesta fundamentada.</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Resolución individual de la prueba integradora.</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escrita integradora fotocopiable (comprensión, análisis de situaciones y posición personal fundamentada).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etapa.</w:t>
            </w:r>
          </w:p>
        </w:tc>
      </w:tr>
    </w:tbl>
    <w:p>
      <w:r>
        <w:br w:type="page"/>
      </w:r>
    </w:p>
    <w:p>
      <w:pPr>
        <w:spacing w:after="60"/>
        <w:jc w:val="center"/>
      </w:pPr>
      <w:r>
        <w:rPr>
          <w:b/>
          <w:color w:val="5C2D91"/>
          <w:sz w:val="24"/>
        </w:rPr>
        <w:t>2.ª ETAPA · julio–noviembre  |  UNIDAD 5  |  Encuentros 19–21</w:t>
      </w:r>
    </w:p>
    <w:p>
      <w:pPr>
        <w:spacing w:after="40"/>
      </w:pPr>
      <w:r>
        <w:rPr>
          <w:b/>
          <w:color w:val="3E2458"/>
          <w:sz w:val="16"/>
        </w:rPr>
        <w:t xml:space="preserve">Unidad 5 · julio–agosto · Capacidades (programa MEC): «Identifica los diferentes tipos de liderazgo.» «Participa con actitud democrática en el proceso de elección del Parlamento Escolar.» «Valora la importancia de una correcta elección de autoridades y su incidencia en la vida del grupo.» «Asume la responsabilidad de pertenecer a un grupo considerando sus habilidades y/o intereses.»</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19</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Liderazgo: concepto, tipos y características.</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Explica qué es el liderazgo.</w:t>
              <w:br/>
              <w:t>• Diferencia los tipos de liderazgo por sus características.</w:t>
              <w:br/>
              <w:t>• Reconoce actitudes de un líder proactivo y democrático.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Diferenciación de tipos de liderazgo; reparto democrático de roles para una tarea del grado.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Organización de una actividad; identificación de estilos de liderazgo.</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20</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Parlamento Escolar: concepto, conformación, deberes y responsabilidades. Participación protagónica.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Explica qué es el Parlamento Escolar y para qué sirve.</w:t>
              <w:br/>
              <w:t>• Describe formas de conformación y reconoce que dependen del reglamento o mecanismo institucional vigente.</w:t>
              <w:br/>
              <w:t>• Valora el derecho a la participación protagónica de los estudiantes.</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Lectura de fuente institucional; contraste con el Tomo; simulación guiada conforme al reglamento/estatuto aplicable.</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Registro de simulación conforme al reglamento/estatuto aplicable; propuestas presentadas.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21</w:t>
            </w:r>
          </w:p>
        </w:tc>
        <w:tc>
          <w:tcPr>
            <w:tcW w:type="dxa" w:w="2946"/>
            <w:vAlign w:val="center"/>
            <w:tcMar>
              <w:top w:w="42" w:type="dxa"/>
              <w:start w:w="42" w:type="dxa"/>
              <w:bottom w:w="42" w:type="dxa"/>
              <w:end w:w="42" w:type="dxa"/>
            </w:tcMar>
          </w:tcPr>
          <w:p>
            <w:pPr>
              <w:spacing w:after="0" w:before="0"/>
            </w:pPr>
            <w:r>
              <w:rPr>
                <w:rFonts w:ascii="Calibri" w:hAnsi="Calibri"/>
                <w:sz w:val="17"/>
              </w:rPr>
              <w:t xml:space="preserve">Taller PEC B — Elegir con razones. Priorización y fundamentación del problema. Capacidades del área vinculadas (programa MEC): «Valora la importancia de integrarse y pertenecer a la comunidad educativa.» «Asume la responsabilidad de pertenecer a un grupo considerando sus habilidades y/o intereses.» Indicadores: elaboración editorial.</w:t>
            </w:r>
          </w:p>
        </w:tc>
        <w:tc>
          <w:tcPr>
            <w:tcW w:type="dxa" w:w="3116"/>
            <w:vAlign w:val="center"/>
            <w:tcMar>
              <w:top w:w="42" w:type="dxa"/>
              <w:start w:w="42" w:type="dxa"/>
              <w:bottom w:w="42" w:type="dxa"/>
              <w:end w:w="42" w:type="dxa"/>
            </w:tcMar>
          </w:tcPr>
          <w:p>
            <w:pPr>
              <w:spacing w:after="0" w:before="0"/>
            </w:pPr>
            <w:r>
              <w:rPr>
                <w:rFonts w:ascii="Calibri" w:hAnsi="Calibri"/>
                <w:sz w:val="16"/>
              </w:rPr>
              <w:t>• Compara tres alternativas mediante importancia, viabilidad y seguridad; argumenta la elección.</w:t>
              <w:br/>
              <w:t>• Participa de manera segura, respetuosa y responsable.</w:t>
            </w:r>
          </w:p>
        </w:tc>
        <w:tc>
          <w:tcPr>
            <w:tcW w:type="dxa" w:w="680"/>
            <w:vAlign w:val="center"/>
            <w:tcMar>
              <w:top w:w="42" w:type="dxa"/>
              <w:start w:w="42" w:type="dxa"/>
              <w:bottom w:w="42" w:type="dxa"/>
              <w:end w:w="42" w:type="dxa"/>
            </w:tcMar>
          </w:tcPr>
          <w:p>
            <w:pPr>
              <w:spacing w:after="0" w:before="0"/>
            </w:pPr>
            <w:r>
              <w:rPr>
                <w:rFonts w:ascii="Calibri" w:hAnsi="Calibri"/>
                <w:sz w:val="18"/>
              </w:rPr>
              <w:t>3 HC</w:t>
            </w:r>
          </w:p>
        </w:tc>
        <w:tc>
          <w:tcPr>
            <w:tcW w:type="dxa" w:w="2904"/>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B del tomo. Elaboración guiada de Ficha 2.</w:t>
            </w:r>
          </w:p>
        </w:tc>
        <w:tc>
          <w:tcPr>
            <w:tcW w:type="dxa" w:w="2904"/>
            <w:vAlign w:val="center"/>
            <w:tcMar>
              <w:top w:w="42" w:type="dxa"/>
              <w:start w:w="42" w:type="dxa"/>
              <w:bottom w:w="42" w:type="dxa"/>
              <w:end w:w="42" w:type="dxa"/>
            </w:tcMar>
          </w:tcPr>
          <w:p>
            <w:pPr>
              <w:spacing w:after="0" w:before="0"/>
            </w:pPr>
            <w:r>
              <w:rPr>
                <w:rFonts w:ascii="Calibri" w:hAnsi="Calibri"/>
                <w:sz w:val="16"/>
              </w:rPr>
              <w:t>Ficha PEC 2: matriz de prioridades y fundamentación de la decisión del equipo.</w:t>
            </w:r>
          </w:p>
        </w:tc>
        <w:tc>
          <w:tcPr>
            <w:tcW w:type="dxa" w:w="1416"/>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bl>
    <w:p>
      <w:r>
        <w:br w:type="page"/>
      </w:r>
    </w:p>
    <w:p>
      <w:pPr>
        <w:spacing w:after="60"/>
        <w:jc w:val="center"/>
      </w:pPr>
      <w:r>
        <w:rPr>
          <w:b/>
          <w:color w:val="5C2D91"/>
          <w:sz w:val="24"/>
        </w:rPr>
        <w:t>2.ª ETAPA · julio–noviembre  |  UNIDAD 5  |  Encuentros 22–24</w:t>
      </w:r>
    </w:p>
    <w:p>
      <w:pPr>
        <w:spacing w:after="40"/>
      </w:pPr>
      <w:r>
        <w:rPr>
          <w:b/>
          <w:color w:val="3E2458"/>
          <w:sz w:val="16"/>
        </w:rPr>
        <w:t xml:space="preserve">Unidad 5 · julio–agosto · Capacidades (programa MEC): «Identifica los diferentes tipos de liderazgo.» «Participa con actitud democrática en el proceso de elección del Parlamento Escolar.» «Valora la importancia de una correcta elección de autoridades y su incidencia en la vida del grupo.» «Asume la responsabilidad de pertenecer a un grupo considerando sus habilidades y/o intereses.»</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22</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Proceso electoral en el grado. Clubes: concepto, objetivos, organización y tipos.</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las características de una elección justa y responsable.</w:t>
              <w:br/>
              <w:t>• Explica qué es un club estudiantil y para qué sirve.</w:t>
              <w:br/>
              <w:t>• Asume la responsabilidad de pertenecer a un grupo según sus intereses.</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 una elección justa; diseño de un club estudiantil con objetivos y organización.</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Diseño de club presentado; criterios de elección aplicados.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23</w:t>
            </w:r>
          </w:p>
        </w:tc>
        <w:tc>
          <w:tcPr>
            <w:tcW w:type="dxa" w:w="2946"/>
            <w:vAlign w:val="center"/>
            <w:tcMar>
              <w:top w:w="42" w:type="dxa"/>
              <w:start w:w="42" w:type="dxa"/>
              <w:bottom w:w="42" w:type="dxa"/>
              <w:end w:w="42" w:type="dxa"/>
            </w:tcMar>
          </w:tcPr>
          <w:p>
            <w:pPr>
              <w:spacing w:after="0" w:before="0"/>
            </w:pPr>
            <w:r>
              <w:rPr>
                <w:rFonts w:ascii="Calibri" w:hAnsi="Calibri"/>
                <w:sz w:val="17"/>
              </w:rPr>
              <w:t xml:space="preserve">Taller PEC C — Pasar de la idea al plan. Objetivos, beneficiarios y productos. Capacidades del área vinculadas (programa MEC): «Analiza los artículos referentes a sus derechos y sus responsabilidades considerando su formación como ciudadano.» «Asume la responsabilidad de pertenecer a un grupo considerando sus habilidades y/o intereses.» Indicadores: elaboración editorial.</w:t>
            </w:r>
          </w:p>
        </w:tc>
        <w:tc>
          <w:tcPr>
            <w:tcW w:type="dxa" w:w="3116"/>
            <w:vAlign w:val="center"/>
            <w:tcMar>
              <w:top w:w="42" w:type="dxa"/>
              <w:start w:w="42" w:type="dxa"/>
              <w:bottom w:w="42" w:type="dxa"/>
              <w:end w:w="42" w:type="dxa"/>
            </w:tcMar>
          </w:tcPr>
          <w:p>
            <w:pPr>
              <w:spacing w:after="0" w:before="0"/>
            </w:pPr>
            <w:r>
              <w:rPr>
                <w:rFonts w:ascii="Calibri" w:hAnsi="Calibri"/>
                <w:sz w:val="16"/>
              </w:rPr>
              <w:t>• Redacta un objetivo general y dos específicos; define beneficiarios y productos verificables.</w:t>
              <w:br/>
              <w:t>• Participa de manera segura, respetuosa y responsable.</w:t>
            </w:r>
          </w:p>
        </w:tc>
        <w:tc>
          <w:tcPr>
            <w:tcW w:type="dxa" w:w="680"/>
            <w:vAlign w:val="center"/>
            <w:tcMar>
              <w:top w:w="42" w:type="dxa"/>
              <w:start w:w="42" w:type="dxa"/>
              <w:bottom w:w="42" w:type="dxa"/>
              <w:end w:w="42" w:type="dxa"/>
            </w:tcMar>
          </w:tcPr>
          <w:p>
            <w:pPr>
              <w:spacing w:after="0" w:before="0"/>
            </w:pPr>
            <w:r>
              <w:rPr>
                <w:rFonts w:ascii="Calibri" w:hAnsi="Calibri"/>
                <w:sz w:val="18"/>
              </w:rPr>
              <w:t>3 HC</w:t>
            </w:r>
          </w:p>
        </w:tc>
        <w:tc>
          <w:tcPr>
            <w:tcW w:type="dxa" w:w="2904"/>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C del tomo. Elaboración guiada de Ficha 3.</w:t>
            </w:r>
          </w:p>
        </w:tc>
        <w:tc>
          <w:tcPr>
            <w:tcW w:type="dxa" w:w="2904"/>
            <w:vAlign w:val="center"/>
            <w:tcMar>
              <w:top w:w="42" w:type="dxa"/>
              <w:start w:w="42" w:type="dxa"/>
              <w:bottom w:w="42" w:type="dxa"/>
              <w:end w:w="42" w:type="dxa"/>
            </w:tcMar>
          </w:tcPr>
          <w:p>
            <w:pPr>
              <w:spacing w:after="0" w:before="0"/>
            </w:pPr>
            <w:r>
              <w:rPr>
                <w:rFonts w:ascii="Calibri" w:hAnsi="Calibri"/>
                <w:sz w:val="16"/>
              </w:rPr>
              <w:t>Ficha PEC 3: objetivos, beneficiarios sin listados nominales y productos esperados.</w:t>
            </w:r>
          </w:p>
        </w:tc>
        <w:tc>
          <w:tcPr>
            <w:tcW w:type="dxa" w:w="1416"/>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24</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5: Organizaciones estudiantiles.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5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2.ª ETAPA · julio–noviembre  |  UNIDAD 6  |  Encuentros 25–30</w:t>
      </w:r>
    </w:p>
    <w:p>
      <w:pPr>
        <w:spacing w:after="40"/>
      </w:pPr>
      <w:r>
        <w:rPr>
          <w:b/>
          <w:color w:val="3E2458"/>
          <w:sz w:val="16"/>
        </w:rPr>
        <w:t xml:space="preserve">Unidad 6 · agosto–septiembre · Capacidades (programa MEC): «Analiza las condiciones de organización para el estudio.» «Planifica adecuadamente su tiempo para el estudio.»</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25</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Condiciones que afectan positiva o negativamente al estudio y al aprendizaje.</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las condiciones psicológicas, fisiológicas, ambientales y materiales del estudio.</w:t>
              <w:br/>
              <w:t>• Identifica qué condiciones lo ayudan y cuáles lo dificultan.</w:t>
              <w:br/>
              <w:t>• Propone mejoras concretas para su lugar y momento de estudio.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Análisis de casos ficticios sobre condiciones del estudio; clasificación de factores; propuesta de ajustes viables sin exponer carencias personales.</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Matriz de condiciones sobre casos ficticios; propuesta de ajuste. La reflexión personal queda privada.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26</w:t>
            </w:r>
          </w:p>
        </w:tc>
        <w:tc>
          <w:tcPr>
            <w:tcW w:type="dxa" w:w="2946"/>
            <w:vAlign w:val="center"/>
            <w:tcMar>
              <w:top w:w="42" w:type="dxa"/>
              <w:start w:w="42" w:type="dxa"/>
              <w:bottom w:w="42" w:type="dxa"/>
              <w:end w:w="42" w:type="dxa"/>
            </w:tcMar>
          </w:tcPr>
          <w:p>
            <w:pPr>
              <w:spacing w:after="0" w:before="0"/>
            </w:pPr>
            <w:r>
              <w:rPr>
                <w:rFonts w:ascii="Calibri" w:hAnsi="Calibri"/>
                <w:sz w:val="17"/>
              </w:rPr>
              <w:t xml:space="preserve">Taller PEC D — Organizar para cumplir. Cronograma, roles, recursos y autorizaciones. Capacidades del área vinculadas (programa MEC): «Identifica los diferentes tipos de liderazgo.» «Asume la responsabilidad de pertenecer a un grupo considerando sus habilidades y/o intereses.» Indicadores: elaboración editorial.</w:t>
            </w:r>
          </w:p>
        </w:tc>
        <w:tc>
          <w:tcPr>
            <w:tcW w:type="dxa" w:w="3116"/>
            <w:vAlign w:val="center"/>
            <w:tcMar>
              <w:top w:w="42" w:type="dxa"/>
              <w:start w:w="42" w:type="dxa"/>
              <w:bottom w:w="42" w:type="dxa"/>
              <w:end w:w="42" w:type="dxa"/>
            </w:tcMar>
          </w:tcPr>
          <w:p>
            <w:pPr>
              <w:spacing w:after="0" w:before="0"/>
            </w:pPr>
            <w:r>
              <w:rPr>
                <w:rFonts w:ascii="Calibri" w:hAnsi="Calibri"/>
                <w:sz w:val="16"/>
              </w:rPr>
              <w:t>• Organiza acciones en cronograma, asigna responsabilidades y prevé permisos y recursos de costo cero.</w:t>
              <w:br/>
              <w:t>• Participa de manera segura, respetuosa y responsable.</w:t>
            </w:r>
          </w:p>
        </w:tc>
        <w:tc>
          <w:tcPr>
            <w:tcW w:type="dxa" w:w="680"/>
            <w:vAlign w:val="center"/>
            <w:tcMar>
              <w:top w:w="42" w:type="dxa"/>
              <w:start w:w="42" w:type="dxa"/>
              <w:bottom w:w="42" w:type="dxa"/>
              <w:end w:w="42" w:type="dxa"/>
            </w:tcMar>
          </w:tcPr>
          <w:p>
            <w:pPr>
              <w:spacing w:after="0" w:before="0"/>
            </w:pPr>
            <w:r>
              <w:rPr>
                <w:rFonts w:ascii="Calibri" w:hAnsi="Calibri"/>
                <w:sz w:val="18"/>
              </w:rPr>
              <w:t>3 HC</w:t>
            </w:r>
          </w:p>
        </w:tc>
        <w:tc>
          <w:tcPr>
            <w:tcW w:type="dxa" w:w="2904"/>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D del tomo. Elaboración guiada de Ficha 4.</w:t>
            </w:r>
          </w:p>
        </w:tc>
        <w:tc>
          <w:tcPr>
            <w:tcW w:type="dxa" w:w="2904"/>
            <w:vAlign w:val="center"/>
            <w:tcMar>
              <w:top w:w="42" w:type="dxa"/>
              <w:start w:w="42" w:type="dxa"/>
              <w:bottom w:w="42" w:type="dxa"/>
              <w:end w:w="42" w:type="dxa"/>
            </w:tcMar>
          </w:tcPr>
          <w:p>
            <w:pPr>
              <w:spacing w:after="0" w:before="0"/>
            </w:pPr>
            <w:r>
              <w:rPr>
                <w:rFonts w:ascii="Calibri" w:hAnsi="Calibri"/>
                <w:sz w:val="16"/>
              </w:rPr>
              <w:t>Ficha PEC 4: cronograma, responsables, recursos, aliados y permisos.</w:t>
            </w:r>
          </w:p>
        </w:tc>
        <w:tc>
          <w:tcPr>
            <w:tcW w:type="dxa" w:w="1416"/>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27</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Organización del tiempo. Concienciación del tiempo que se dedica al estudio. Técnicas de estudio.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la importancia de organizar el tiempo.</w:t>
              <w:br/>
              <w:t>• Aplica una técnica sencilla de estudio.</w:t>
              <w:br/>
              <w:t>• Elabora un horario semanal que incluye estudio y descanso.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Aplicación de técnicas de estudio; elaboración de un horario semanal con estudio y descanso.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Horario semanal elaborado; cartel de técnicas de estudio.</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28</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Organización del tiempo. Metas de corto, mediano y largo plazo.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Diferencia metas de corto, mediano y largo plazo.</w:t>
              <w:br/>
              <w:t>• Elabora un plan de estudio semanal propio.</w:t>
              <w:br/>
              <w:t>• Relaciona sus metas con su proyecto de vida.</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Diferenciación de metas; elaboración privada de un plan personal y práctica calificable con un caso ficticio.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Plan personal de uso privado + planificación de caso ficticio como evidencia calificable.</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29</w:t>
            </w:r>
          </w:p>
        </w:tc>
        <w:tc>
          <w:tcPr>
            <w:tcW w:type="dxa" w:w="2946"/>
            <w:vAlign w:val="center"/>
            <w:tcMar>
              <w:top w:w="42" w:type="dxa"/>
              <w:start w:w="42" w:type="dxa"/>
              <w:bottom w:w="42" w:type="dxa"/>
              <w:end w:w="42" w:type="dxa"/>
            </w:tcMar>
          </w:tcPr>
          <w:p>
            <w:pPr>
              <w:spacing w:after="0" w:before="0"/>
            </w:pPr>
            <w:r>
              <w:rPr>
                <w:rFonts w:ascii="Calibri" w:hAnsi="Calibri"/>
                <w:sz w:val="17"/>
              </w:rPr>
              <w:t xml:space="preserve">Taller PEC E — Actuar y registrar. Ejecución segura y bitácora. Capacidades del área vinculadas (programa MEC): «Identifica las medidas de prevención y mitigación en situaciones de riesgos.» «Asume la responsabilidad de pertenecer a un grupo considerando sus habilidades y/o intereses.» Indicadores: elaboración editorial.</w:t>
            </w:r>
          </w:p>
        </w:tc>
        <w:tc>
          <w:tcPr>
            <w:tcW w:type="dxa" w:w="3116"/>
            <w:vAlign w:val="center"/>
            <w:tcMar>
              <w:top w:w="42" w:type="dxa"/>
              <w:start w:w="42" w:type="dxa"/>
              <w:bottom w:w="42" w:type="dxa"/>
              <w:end w:w="42" w:type="dxa"/>
            </w:tcMar>
          </w:tcPr>
          <w:p>
            <w:pPr>
              <w:spacing w:after="0" w:before="0"/>
            </w:pPr>
            <w:r>
              <w:rPr>
                <w:rFonts w:ascii="Calibri" w:hAnsi="Calibri"/>
                <w:sz w:val="16"/>
              </w:rPr>
              <w:t>• Participa en una actividad autorizada o simulada y documenta su realización sin difundir datos privados.</w:t>
              <w:br/>
              <w:t>• Participa de manera segura, respetuosa y responsable.</w:t>
            </w:r>
          </w:p>
        </w:tc>
        <w:tc>
          <w:tcPr>
            <w:tcW w:type="dxa" w:w="680"/>
            <w:vAlign w:val="center"/>
            <w:tcMar>
              <w:top w:w="42" w:type="dxa"/>
              <w:start w:w="42" w:type="dxa"/>
              <w:bottom w:w="42" w:type="dxa"/>
              <w:end w:w="42" w:type="dxa"/>
            </w:tcMar>
          </w:tcPr>
          <w:p>
            <w:pPr>
              <w:spacing w:after="0" w:before="0"/>
            </w:pPr>
            <w:r>
              <w:rPr>
                <w:rFonts w:ascii="Calibri" w:hAnsi="Calibri"/>
                <w:sz w:val="18"/>
              </w:rPr>
              <w:t>3 HC</w:t>
            </w:r>
          </w:p>
        </w:tc>
        <w:tc>
          <w:tcPr>
            <w:tcW w:type="dxa" w:w="2904"/>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E del tomo. Elaboración guiada de Ficha 5.</w:t>
            </w:r>
          </w:p>
        </w:tc>
        <w:tc>
          <w:tcPr>
            <w:tcW w:type="dxa" w:w="2904"/>
            <w:vAlign w:val="center"/>
            <w:tcMar>
              <w:top w:w="42" w:type="dxa"/>
              <w:start w:w="42" w:type="dxa"/>
              <w:bottom w:w="42" w:type="dxa"/>
              <w:end w:w="42" w:type="dxa"/>
            </w:tcMar>
          </w:tcPr>
          <w:p>
            <w:pPr>
              <w:spacing w:after="0" w:before="0"/>
            </w:pPr>
            <w:r>
              <w:rPr>
                <w:rFonts w:ascii="Calibri" w:hAnsi="Calibri"/>
                <w:sz w:val="16"/>
              </w:rPr>
              <w:t>Ficha PEC 5: bitácora de ejecución, cambios y evidencias anónimas.</w:t>
            </w:r>
          </w:p>
        </w:tc>
        <w:tc>
          <w:tcPr>
            <w:tcW w:type="dxa" w:w="1416"/>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30</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6: Organización y planificación.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6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bl>
    <w:p>
      <w:r>
        <w:br w:type="page"/>
      </w:r>
    </w:p>
    <w:p>
      <w:pPr>
        <w:spacing w:after="60"/>
        <w:jc w:val="center"/>
      </w:pPr>
      <w:r>
        <w:rPr>
          <w:b/>
          <w:color w:val="5C2D91"/>
          <w:sz w:val="24"/>
        </w:rPr>
        <w:t>2.ª ETAPA · julio–noviembre  |  UNIDAD 7  |  Encuentros 31–36</w:t>
      </w:r>
    </w:p>
    <w:p>
      <w:pPr>
        <w:spacing w:after="40"/>
      </w:pPr>
      <w:r>
        <w:rPr>
          <w:b/>
          <w:color w:val="3E2458"/>
          <w:sz w:val="16"/>
        </w:rPr>
        <w:t xml:space="preserve">Unidad 7 · octubre–noviembre · Capacidades (programa MEC): «Identifica las medidas de prevención y mitigación en situaciones de riesgos.» «Aplica normas de comportamiento en caso de riesgos.»</w:t>
      </w:r>
    </w:p>
    <w:tbl>
      <w:tblPr>
        <w:tblW w:type="auto" w:w="0"/>
        <w:jc w:val="center"/>
        <w:tblLook w:firstColumn="1" w:firstRow="1" w:lastColumn="0" w:lastRow="0" w:noHBand="0" w:noVBand="1" w:val="04A0"/>
        <w:tblBorders>
          <w:top w:val="single" w:sz="3" w:color="777777"/>
          <w:left w:val="single" w:sz="3" w:color="777777"/>
          <w:bottom w:val="single" w:sz="3" w:color="777777"/>
          <w:right w:val="single" w:sz="3" w:color="777777"/>
          <w:insideH w:val="single" w:sz="3" w:color="777777"/>
          <w:insideV w:val="single" w:sz="3" w:color="777777"/>
        </w:tblBorders>
      </w:tblPr>
      <w:tblGrid>
        <w:gridCol w:w="2203"/>
        <w:gridCol w:w="2203"/>
        <w:gridCol w:w="2203"/>
        <w:gridCol w:w="2203"/>
        <w:gridCol w:w="2203"/>
        <w:gridCol w:w="2203"/>
        <w:gridCol w:w="2203"/>
      </w:tblGrid>
      <w:tr>
        <w:tc>
          <w:tcPr>
            <w:tcW w:type="dxa" w:w="538"/>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N°</w:t>
            </w:r>
          </w:p>
        </w:tc>
        <w:tc>
          <w:tcPr>
            <w:tcW w:type="dxa" w:w="294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TEMAS</w:t>
            </w:r>
          </w:p>
        </w:tc>
        <w:tc>
          <w:tcPr>
            <w:tcW w:type="dxa" w:w="31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INDICADORES DE LOGRO</w:t>
            </w:r>
          </w:p>
        </w:tc>
        <w:tc>
          <w:tcPr>
            <w:tcW w:type="dxa" w:w="680"/>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TIEMPO</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PROCEDIMIENTOS</w:t>
            </w:r>
          </w:p>
        </w:tc>
        <w:tc>
          <w:tcPr>
            <w:tcW w:type="dxa" w:w="2904"/>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INSTRUMENTOS</w:t>
            </w:r>
          </w:p>
        </w:tc>
        <w:tc>
          <w:tcPr>
            <w:tcW w:type="dxa" w:w="1416"/>
            <w:shd w:fill="5C2D91"/>
            <w:vAlign w:val="center"/>
            <w:tcMar>
              <w:top w:w="42" w:type="dxa"/>
              <w:start w:w="42" w:type="dxa"/>
              <w:bottom w:w="42" w:type="dxa"/>
              <w:end w:w="42" w:type="dxa"/>
            </w:tcMar>
          </w:tcPr>
          <w:p>
            <w:pPr>
              <w:spacing w:before="0" w:after="0" w:line="230" w:lineRule="auto"/>
              <w:jc w:val="center"/>
            </w:pPr>
            <w:r>
              <w:rPr>
                <w:rFonts w:ascii="Aptos" w:hAnsi="Aptos"/>
                <w:b/>
                <w:color w:val="FFFFFF"/>
                <w:sz w:val="14"/>
              </w:rPr>
              <w:t>OBSERVACIÓN</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31</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Riesgos físicos, psicológicos y ambientales. Prevención, mitigación/reducción y respuesta.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Distingue riesgos físicos, psicológicos y ambientales.</w:t>
              <w:br/>
              <w:t>• Explica la diferencia entre prevención, mitigación/reducción y respuesta.</w:t>
              <w:br/>
              <w:t>• Propone medidas de prevención para su entorno.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Distinción de tipos de riesgo; análisis de prevención/mitigación-reducción/respuesta; observación segura y reporte de riesgos visibles.</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Lista de riesgos y soluciones; propuesta a la dirección.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32</w:t>
            </w:r>
          </w:p>
        </w:tc>
        <w:tc>
          <w:tcPr>
            <w:tcW w:type="dxa" w:w="2946"/>
            <w:vAlign w:val="center"/>
            <w:tcMar>
              <w:top w:w="42" w:type="dxa"/>
              <w:start w:w="42" w:type="dxa"/>
              <w:bottom w:w="42" w:type="dxa"/>
              <w:end w:w="42" w:type="dxa"/>
            </w:tcMar>
          </w:tcPr>
          <w:p>
            <w:pPr>
              <w:spacing w:after="0" w:before="0"/>
            </w:pPr>
            <w:r>
              <w:rPr>
                <w:rFonts w:ascii="Calibri" w:hAnsi="Calibri"/>
                <w:sz w:val="17"/>
              </w:rPr>
              <w:t xml:space="preserve">Taller PEC F — Aprender de los resultados. Evaluación, informe y devolución. Capacidades del área vinculadas (programa MEC): «Expresa su habilidad de sentir, pensar y actuar como elementos que se observan en el proceso del autoconocimiento.» «Valora la importancia de integrarse y pertenecer a la comunidad educativa.» Indicadores: elaboración editorial.</w:t>
            </w:r>
          </w:p>
        </w:tc>
        <w:tc>
          <w:tcPr>
            <w:tcW w:type="dxa" w:w="3116"/>
            <w:vAlign w:val="center"/>
            <w:tcMar>
              <w:top w:w="42" w:type="dxa"/>
              <w:start w:w="42" w:type="dxa"/>
              <w:bottom w:w="42" w:type="dxa"/>
              <w:end w:w="42" w:type="dxa"/>
            </w:tcMar>
          </w:tcPr>
          <w:p>
            <w:pPr>
              <w:spacing w:after="0" w:before="0"/>
            </w:pPr>
            <w:r>
              <w:rPr>
                <w:rFonts w:ascii="Calibri" w:hAnsi="Calibri"/>
                <w:sz w:val="16"/>
              </w:rPr>
              <w:t>• Contrasta objetivos y productos con evidencias, informa límites y formula una mejora realista.</w:t>
              <w:br/>
              <w:t>• Participa de manera segura, respetuosa y responsable.</w:t>
            </w:r>
          </w:p>
        </w:tc>
        <w:tc>
          <w:tcPr>
            <w:tcW w:type="dxa" w:w="680"/>
            <w:vAlign w:val="center"/>
            <w:tcMar>
              <w:top w:w="42" w:type="dxa"/>
              <w:start w:w="42" w:type="dxa"/>
              <w:bottom w:w="42" w:type="dxa"/>
              <w:end w:w="42" w:type="dxa"/>
            </w:tcMar>
          </w:tcPr>
          <w:p>
            <w:pPr>
              <w:spacing w:after="0" w:before="0"/>
            </w:pPr>
            <w:r>
              <w:rPr>
                <w:rFonts w:ascii="Calibri" w:hAnsi="Calibri"/>
                <w:sz w:val="18"/>
              </w:rPr>
              <w:t>3 HC</w:t>
            </w:r>
          </w:p>
        </w:tc>
        <w:tc>
          <w:tcPr>
            <w:tcW w:type="dxa" w:w="2904"/>
            <w:vAlign w:val="center"/>
            <w:tcMar>
              <w:top w:w="42" w:type="dxa"/>
              <w:start w:w="42" w:type="dxa"/>
              <w:bottom w:w="42" w:type="dxa"/>
              <w:end w:w="42" w:type="dxa"/>
            </w:tcMar>
          </w:tcPr>
          <w:p>
            <w:pPr>
              <w:spacing w:after="0" w:before="0"/>
            </w:pPr>
            <w:r>
              <w:rPr>
                <w:rFonts w:ascii="Calibri" w:hAnsi="Calibri"/>
                <w:sz w:val="16"/>
              </w:rPr>
              <w:t>Inicio 20 min, desarrollos 35 + 40 min y cierre 25 min según Taller PEC F del tomo. Elaboración guiada de Ficha 6.</w:t>
            </w:r>
          </w:p>
        </w:tc>
        <w:tc>
          <w:tcPr>
            <w:tcW w:type="dxa" w:w="2904"/>
            <w:vAlign w:val="center"/>
            <w:tcMar>
              <w:top w:w="42" w:type="dxa"/>
              <w:start w:w="42" w:type="dxa"/>
              <w:bottom w:w="42" w:type="dxa"/>
              <w:end w:w="42" w:type="dxa"/>
            </w:tcMar>
          </w:tcPr>
          <w:p>
            <w:pPr>
              <w:spacing w:after="0" w:before="0"/>
            </w:pPr>
            <w:r>
              <w:rPr>
                <w:rFonts w:ascii="Calibri" w:hAnsi="Calibri"/>
                <w:sz w:val="16"/>
              </w:rPr>
              <w:t>Ficha PEC 6: informe, autoevaluación y rúbrica formativa del proyecto.</w:t>
            </w:r>
          </w:p>
        </w:tc>
        <w:tc>
          <w:tcPr>
            <w:tcW w:type="dxa" w:w="1416"/>
            <w:vAlign w:val="center"/>
            <w:tcMar>
              <w:top w:w="42" w:type="dxa"/>
              <w:start w:w="42" w:type="dxa"/>
              <w:bottom w:w="42" w:type="dxa"/>
              <w:end w:w="42" w:type="dxa"/>
            </w:tcMar>
          </w:tcPr>
          <w:p>
            <w:pPr>
              <w:spacing w:after="0" w:before="0"/>
            </w:pPr>
            <w:r>
              <w:rPr>
                <w:rFonts w:ascii="Calibri" w:hAnsi="Calibri"/>
                <w:sz w:val="16"/>
              </w:rPr>
              <w:t>PEC integrado en lugar de una continuación práctica; sin horas adicionales.</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33</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Normas de comportamiento en emergencias. La violencia como riesgo.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Aplica normas de comportamiento ante emergencias ambientales.</w:t>
              <w:br/>
              <w:t>• Reconoce la violencia como un riesgo y a quién recurrir.</w:t>
              <w:br/>
              <w:t>• Identifica y nombra emociones frente a situaciones de riesgo.</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Aplicación de normas ante emergencias; ensayo guiado de aviso/evacuación; reconocimiento de emociones y ruta de ayuda.</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Registro de participación en el ensayo; identificación de emociones; reconocimiento de la ruta de ayuda.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34</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Síntesis del año. Red de apoyo y proyecto de vida.</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Reconoce su red de apoyo personal.</w:t>
              <w:br/>
              <w:t>• Integra los aprendizajes del año en su proyecto de vida.</w:t>
              <w:br/>
              <w:t>• Valora el camino recorrido y proyecta pasos para el año siguiente.</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Síntesis de aprendizajes con casos generales; la red de apoyo y la proyección personal se registran de forma privada, sin exposición.</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Síntesis general; reflexión/carta privada y no calificable; cierre de proyecto de vida sin revelaciones obligatorias.</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35</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de la Unidad 7: Gestión de riesgo. Devolución y refuerzo.</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Resuelve consignas de comprensión y aplicación vinculadas con los indicadores de la unidad.</w:t>
              <w:br/>
              <w:t>• Fundamenta respuestas abiertas con ideas pertinentes.</w:t>
              <w:br/>
              <w:t>• Revisa sus respuestas a partir de la devolución y registra qué necesita reforzar.</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Evaluación escrita individual; devolución guiada; autocorrección formativa; refuerzo focalizado.</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de la Unidad 7 fotocopiable; pauta de corrección del Solucionario; registro breve de recuperación.</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unidad; devolución y refuerzo.</w:t>
            </w:r>
          </w:p>
        </w:tc>
      </w:tr>
      <w:tr>
        <w:tc>
          <w:tcPr>
            <w:tcW w:type="dxa" w:w="538"/>
            <w:shd w:fill="EEE7F7"/>
            <w:vAlign w:val="center"/>
            <w:tcMar>
              <w:top w:w="42" w:type="dxa"/>
              <w:start w:w="42" w:type="dxa"/>
              <w:bottom w:w="42" w:type="dxa"/>
              <w:end w:w="42" w:type="dxa"/>
            </w:tcMar>
          </w:tcPr>
          <w:p>
            <w:pPr>
              <w:spacing w:before="0" w:after="0" w:line="230" w:lineRule="auto"/>
              <w:jc w:val="center"/>
            </w:pPr>
            <w:r>
              <w:rPr>
                <w:rFonts w:ascii="Aptos" w:hAnsi="Aptos"/>
                <w:b/>
                <w:sz w:val="14"/>
              </w:rPr>
              <w:t>36</w:t>
            </w:r>
          </w:p>
        </w:tc>
        <w:tc>
          <w:tcPr>
            <w:tcW w:type="dxa" w:w="2946"/>
            <w:vAlign w:val="center"/>
            <w:tcMar>
              <w:top w:w="42" w:type="dxa"/>
              <w:start w:w="42" w:type="dxa"/>
              <w:bottom w:w="42" w:type="dxa"/>
              <w:end w:w="42" w:type="dxa"/>
            </w:tcMar>
          </w:tcPr>
          <w:p>
            <w:pPr>
              <w:spacing w:before="0" w:after="0" w:line="230" w:lineRule="auto"/>
            </w:pPr>
            <w:r>
              <w:rPr>
                <w:rFonts w:ascii="Aptos" w:hAnsi="Aptos"/>
                <w:b w:val="0"/>
                <w:sz w:val="14"/>
              </w:rPr>
              <w:t>Evaluación integradora de la 2.ª etapa (Unidades 5 a 7)</w:t>
            </w:r>
          </w:p>
        </w:tc>
        <w:tc>
          <w:tcPr>
            <w:tcW w:type="dxa" w:w="3116"/>
            <w:vAlign w:val="center"/>
            <w:tcMar>
              <w:top w:w="42" w:type="dxa"/>
              <w:start w:w="42" w:type="dxa"/>
              <w:bottom w:w="42" w:type="dxa"/>
              <w:end w:w="42" w:type="dxa"/>
            </w:tcMar>
          </w:tcPr>
          <w:p>
            <w:pPr>
              <w:spacing w:before="0" w:after="0" w:line="230" w:lineRule="auto"/>
            </w:pPr>
            <w:r>
              <w:rPr>
                <w:rFonts w:ascii="Aptos" w:hAnsi="Aptos"/>
                <w:b w:val="0"/>
                <w:sz w:val="14"/>
              </w:rPr>
              <w:t>• Integra los indicadores de las unidades de la etapa.</w:t>
              <w:br/>
              <w:t>• Explica con sus palabras conceptos centrales de las Unidades 5 a 7.</w:t>
              <w:br/>
              <w:t>• Analiza situaciones de participación, estudio y emergencia y propone una respuesta fundamentada.</w:t>
            </w:r>
          </w:p>
        </w:tc>
        <w:tc>
          <w:tcPr>
            <w:tcW w:type="dxa" w:w="680"/>
            <w:vAlign w:val="center"/>
            <w:tcMar>
              <w:top w:w="42" w:type="dxa"/>
              <w:start w:w="42" w:type="dxa"/>
              <w:bottom w:w="42" w:type="dxa"/>
              <w:end w:w="42" w:type="dxa"/>
            </w:tcMar>
          </w:tcPr>
          <w:p>
            <w:pPr>
              <w:spacing w:before="0" w:after="0" w:line="230" w:lineRule="auto"/>
              <w:jc w:val="center"/>
            </w:pPr>
            <w:r>
              <w:rPr>
                <w:rFonts w:ascii="Aptos" w:hAnsi="Aptos"/>
                <w:b w:val="0"/>
                <w:sz w:val="14"/>
              </w:rPr>
              <w:t>3 h</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Resolución individual de la prueba integradora.</w:t>
            </w:r>
          </w:p>
        </w:tc>
        <w:tc>
          <w:tcPr>
            <w:tcW w:type="dxa" w:w="2904"/>
            <w:vAlign w:val="center"/>
            <w:tcMar>
              <w:top w:w="42" w:type="dxa"/>
              <w:start w:w="42" w:type="dxa"/>
              <w:bottom w:w="42" w:type="dxa"/>
              <w:end w:w="42" w:type="dxa"/>
            </w:tcMar>
          </w:tcPr>
          <w:p>
            <w:pPr>
              <w:spacing w:before="0" w:after="0" w:line="230" w:lineRule="auto"/>
            </w:pPr>
            <w:r>
              <w:rPr>
                <w:rFonts w:ascii="Aptos" w:hAnsi="Aptos"/>
                <w:b w:val="0"/>
                <w:sz w:val="14"/>
              </w:rPr>
              <w:t>Prueba escrita integradora fotocopiable (comprensión, análisis de situaciones y posición personal fundamentada).</w:t>
            </w:r>
          </w:p>
        </w:tc>
        <w:tc>
          <w:tcPr>
            <w:tcW w:type="dxa" w:w="1416"/>
            <w:vAlign w:val="center"/>
            <w:tcMar>
              <w:top w:w="42" w:type="dxa"/>
              <w:start w:w="42" w:type="dxa"/>
              <w:bottom w:w="42" w:type="dxa"/>
              <w:end w:w="42" w:type="dxa"/>
            </w:tcMar>
          </w:tcPr>
          <w:p>
            <w:pPr>
              <w:spacing w:before="0" w:after="0" w:line="230" w:lineRule="auto"/>
            </w:pPr>
            <w:r>
              <w:rPr>
                <w:rFonts w:ascii="Aptos" w:hAnsi="Aptos"/>
                <w:b w:val="0"/>
                <w:sz w:val="14"/>
              </w:rPr>
              <w:t>Cierre de etapa.</w:t>
            </w:r>
          </w:p>
        </w:tc>
      </w:tr>
    </w:tbl>
    <w:p>
      <w:pPr>
        <w:pageBreakBefore/>
        <w:spacing w:before="160"/>
        <w:jc w:val="center"/>
      </w:pPr>
      <w:r>
        <w:rPr>
          <w:b/>
          <w:color w:val="5C2D91"/>
          <w:sz w:val="32"/>
        </w:rPr>
        <w:t>CRITERIOS TRANSVERSALES, INCLUSIÓN Y CIERRE</w:t>
      </w:r>
    </w:p>
    <w:p>
      <w:pPr>
        <w:spacing w:before="100" w:after="20"/>
      </w:pPr>
      <w:r>
        <w:rPr>
          <w:b/>
          <w:color w:val="5C2D91"/>
          <w:sz w:val="23"/>
        </w:rPr>
        <w:t>Evaluación y devolución</w:t>
      </w:r>
    </w:p>
    <w:p>
      <w:pPr>
        <w:spacing w:after="20"/>
        <w:ind w:left="173"/>
      </w:pPr>
      <w:r>
        <w:rPr>
          <w:sz w:val="17"/>
        </w:rPr>
        <w:t>• La evaluación combina comprensión, análisis de situaciones y toma de posición fundamentada.</w:t>
      </w:r>
    </w:p>
    <w:p>
      <w:pPr>
        <w:spacing w:after="20"/>
        <w:ind w:left="173"/>
      </w:pPr>
      <w:r>
        <w:rPr>
          <w:sz w:val="17"/>
        </w:rPr>
        <w:t>• La Parte «Tu posición» se valora por coherencia y fundamentación, no por coincidir con una opinión predeterminada.</w:t>
      </w:r>
    </w:p>
    <w:p>
      <w:pPr>
        <w:spacing w:after="20"/>
        <w:ind w:left="173"/>
      </w:pPr>
      <w:r>
        <w:rPr>
          <w:sz w:val="17"/>
        </w:rPr>
        <w:t>• Las evaluaciones de unidad reservan tiempo real para devolución, autocorrección formativa y refuerzo del indicador con mayor dificultad.</w:t>
      </w:r>
    </w:p>
    <w:p>
      <w:pPr>
        <w:spacing w:before="100" w:after="20"/>
      </w:pPr>
      <w:r>
        <w:rPr>
          <w:b/>
          <w:color w:val="5C2D91"/>
          <w:sz w:val="23"/>
        </w:rPr>
        <w:t>Enfoque de cuidado</w:t>
      </w:r>
    </w:p>
    <w:p>
      <w:pPr>
        <w:spacing w:after="20"/>
        <w:ind w:left="173"/>
      </w:pPr>
      <w:r>
        <w:rPr>
          <w:sz w:val="17"/>
        </w:rPr>
        <w:t>• Vida afectiva, sexualidad, violencia y vulneración de derechos se trabajan con situaciones generales o ficticias; no se exigen revelaciones personales.</w:t>
      </w:r>
    </w:p>
    <w:p>
      <w:pPr>
        <w:spacing w:after="20"/>
        <w:ind w:left="173"/>
      </w:pPr>
      <w:r>
        <w:rPr>
          <w:sz w:val="17"/>
        </w:rPr>
        <w:t>• Las respuestas privadas de «Mirate» no se califican ni se leen públicamente.</w:t>
      </w:r>
    </w:p>
    <w:p>
      <w:pPr>
        <w:spacing w:after="20"/>
        <w:ind w:left="173"/>
      </w:pPr>
      <w:r>
        <w:rPr>
          <w:sz w:val="17"/>
        </w:rPr>
        <w:t>• Ante una situación real que excede el aula, se activa la orientación o la red de protección según el protocolo institucional.</w:t>
      </w:r>
    </w:p>
    <w:p>
      <w:pPr>
        <w:spacing w:before="100" w:after="20"/>
      </w:pPr>
      <w:r>
        <w:rPr>
          <w:b/>
          <w:color w:val="5C2D91"/>
          <w:sz w:val="23"/>
        </w:rPr>
        <w:t>Inclusión</w:t>
      </w:r>
    </w:p>
    <w:p>
      <w:pPr>
        <w:spacing w:after="20"/>
        <w:ind w:left="173"/>
      </w:pPr>
      <w:r>
        <w:rPr>
          <w:sz w:val="17"/>
        </w:rPr>
        <w:t>• Ofrecer formas oral, escrita, gráfica o dramatizada de participación cuando corresponda.</w:t>
      </w:r>
    </w:p>
    <w:p>
      <w:pPr>
        <w:spacing w:after="20"/>
        <w:ind w:left="173"/>
      </w:pPr>
      <w:r>
        <w:rPr>
          <w:sz w:val="17"/>
        </w:rPr>
        <w:t>• Adaptar ejemplos a la realidad lingüística y cultural del grupo, valorizando castellano y guaraní.</w:t>
      </w:r>
    </w:p>
    <w:p>
      <w:pPr>
        <w:spacing w:after="20"/>
        <w:ind w:left="173"/>
      </w:pPr>
      <w:r>
        <w:rPr>
          <w:sz w:val="17"/>
        </w:rPr>
        <w:t>• Evitar exponer carencias materiales o condiciones familiares en las actividades sobre hábitos de estudio.</w:t>
      </w:r>
    </w:p>
    <w:p>
      <w:pPr>
        <w:spacing w:before="100" w:after="20"/>
      </w:pPr>
      <w:r>
        <w:rPr>
          <w:b/>
          <w:color w:val="5C2D91"/>
          <w:sz w:val="23"/>
        </w:rPr>
        <w:t>Seguridad y participación democrática</w:t>
      </w:r>
    </w:p>
    <w:p>
      <w:pPr>
        <w:spacing w:after="20"/>
        <w:ind w:left="173"/>
      </w:pPr>
      <w:r>
        <w:rPr>
          <w:sz w:val="17"/>
        </w:rPr>
        <w:t>• Las prácticas de participación se ajustan al reglamento/estatuto institucional aplicable; una simulación de aula no sustituye un procedimiento institucional real.</w:t>
      </w:r>
    </w:p>
    <w:p>
      <w:pPr>
        <w:spacing w:after="20"/>
        <w:ind w:left="173"/>
      </w:pPr>
      <w:r>
        <w:rPr>
          <w:sz w:val="17"/>
        </w:rPr>
        <w:t>• En gestión de riesgo, observar y reportar reemplaza cualquier manipulación de fuentes de peligro. Los simulacros se realizan solo con autorización y protocolo institucional.</w:t>
      </w:r>
    </w:p>
    <w:p>
      <w:pPr>
        <w:spacing w:before="440"/>
        <w:jc w:val="center"/>
      </w:pPr>
      <w:r>
        <w:rPr>
          <w:sz w:val="20"/>
        </w:rPr>
        <w:t>__________________________________</w:t>
        <w:br/>
        <w:t>Firma del docente</w:t>
      </w:r>
    </w:p>
    <w:p>
      <w:pPr>
        <w:pStyle w:val="Heading1"/>
      </w:pPr>
      <w:r>
        <w:rPr>
          <w:color w:val="4B2D69"/>
        </w:rPr>
        <w:t>Articulación curricular y organización del Proyecto Educativo Comunitario</w:t>
      </w:r>
    </w:p>
    <w:p>
      <w:pPr/>
      <w:r>
        <w:rPr>
          <w:sz w:val="19"/>
        </w:rPr>
        <w:t>Desarrollo Personal y Social de 7.º grado comprende Orientación Educacional y Vocacional y Proyecto Educativo Comunitario. Esta propuesta docente integra el PEC en seis de los 36 encuentros anuales previstos, sin agregar otras horas. Las capacidades oficiales de las siete unidades de Orientación se mantienen en los encuentros temáticos; las metas del PEC son indicadores didácticos editoriales que deben adaptarse al proyecto institucional.</w:t>
      </w:r>
    </w:p>
    <w:p>
      <w:pPr/>
      <w:r>
        <w:rPr>
          <w:sz w:val="19"/>
        </w:rPr>
        <w:t>El calendario 36 × 3 HC = 108 HC es una planificación editorial de referencia, no una asignación rígida del MEC de seis jornadas exclusivamente al PEC. La institución puede adecuar la distribución entre componentes según necesidades y PEI/PCI.</w:t>
      </w:r>
    </w:p>
    <w:p>
      <w:pPr/>
      <w:r>
        <w:rPr>
          <w:sz w:val="19"/>
        </w:rPr>
        <w:t>Proyecto modelo del grado: Recreos que incluyen: rincón de lectura y bienvenida. El proyecto real del curso se elige a partir de un diagnóstico, participación estudiantil y autorización de la dirección, sin imponer como obligatorio el modelo propuesto.</w:t>
      </w:r>
    </w:p>
    <w:tbl>
      <w:tblPr>
        <w:tblStyle w:val="TableGrid"/>
        <w:tblW w:type="auto" w:w="0"/>
        <w:tblLook w:firstColumn="1" w:firstRow="1" w:lastColumn="0" w:lastRow="0" w:noHBand="0" w:noVBand="1" w:val="04A0"/>
      </w:tblPr>
      <w:tblGrid>
        <w:gridCol w:w="5141"/>
        <w:gridCol w:w="5141"/>
        <w:gridCol w:w="5141"/>
      </w:tblGrid>
      <w:tr>
        <w:tc>
          <w:tcPr>
            <w:tcW w:type="dxa" w:w="5141"/>
            <w:vAlign w:val="center"/>
          </w:tcPr>
          <w:p>
            <w:pPr>
              <w:spacing w:after="0" w:before="0"/>
            </w:pPr>
            <w:r>
              <w:rPr>
                <w:rFonts w:ascii="Calibri" w:hAnsi="Calibri"/>
                <w:b/>
                <w:sz w:val="18"/>
              </w:rPr>
              <w:t>Encuentro</w:t>
            </w:r>
          </w:p>
        </w:tc>
        <w:tc>
          <w:tcPr>
            <w:tcW w:type="dxa" w:w="5141"/>
            <w:vAlign w:val="center"/>
          </w:tcPr>
          <w:p>
            <w:pPr>
              <w:spacing w:after="0" w:before="0"/>
            </w:pPr>
            <w:r>
              <w:rPr>
                <w:rFonts w:ascii="Calibri" w:hAnsi="Calibri"/>
                <w:b/>
                <w:sz w:val="18"/>
              </w:rPr>
              <w:t>Taller PEC</w:t>
            </w:r>
          </w:p>
        </w:tc>
        <w:tc>
          <w:tcPr>
            <w:tcW w:type="dxa" w:w="5141"/>
            <w:vAlign w:val="center"/>
          </w:tcPr>
          <w:p>
            <w:pPr>
              <w:spacing w:after="0" w:before="0"/>
            </w:pPr>
            <w:r>
              <w:rPr>
                <w:rFonts w:ascii="Calibri" w:hAnsi="Calibri"/>
                <w:b/>
                <w:sz w:val="18"/>
              </w:rPr>
              <w:t>Evidencia del proceso</w:t>
            </w:r>
          </w:p>
        </w:tc>
      </w:tr>
      <w:tr>
        <w:tc>
          <w:tcPr>
            <w:tcW w:type="dxa" w:w="5141"/>
            <w:vAlign w:val="center"/>
          </w:tcPr>
          <w:p>
            <w:pPr>
              <w:spacing w:after="0" w:before="0"/>
            </w:pPr>
            <w:r>
              <w:rPr>
                <w:rFonts w:ascii="Calibri" w:hAnsi="Calibri"/>
                <w:sz w:val="17"/>
              </w:rPr>
              <w:t>4</w:t>
            </w:r>
          </w:p>
        </w:tc>
        <w:tc>
          <w:tcPr>
            <w:tcW w:type="dxa" w:w="5141"/>
            <w:vAlign w:val="center"/>
          </w:tcPr>
          <w:p>
            <w:pPr>
              <w:spacing w:after="0" w:before="0"/>
            </w:pPr>
            <w:r>
              <w:rPr>
                <w:rFonts w:ascii="Calibri" w:hAnsi="Calibri"/>
                <w:sz w:val="17"/>
              </w:rPr>
              <w:t>A · Mirar antes de actuar</w:t>
            </w:r>
          </w:p>
        </w:tc>
        <w:tc>
          <w:tcPr>
            <w:tcW w:type="dxa" w:w="5141"/>
            <w:vAlign w:val="center"/>
          </w:tcPr>
          <w:p>
            <w:pPr>
              <w:spacing w:after="0" w:before="0"/>
            </w:pPr>
            <w:r>
              <w:rPr>
                <w:rFonts w:ascii="Calibri" w:hAnsi="Calibri"/>
                <w:sz w:val="17"/>
              </w:rPr>
              <w:t>Ficha 1 y observación formativa</w:t>
            </w:r>
          </w:p>
        </w:tc>
      </w:tr>
      <w:tr>
        <w:tc>
          <w:tcPr>
            <w:tcW w:type="dxa" w:w="5141"/>
            <w:vAlign w:val="center"/>
          </w:tcPr>
          <w:p>
            <w:pPr>
              <w:spacing w:after="0" w:before="0"/>
            </w:pPr>
            <w:r>
              <w:rPr>
                <w:rFonts w:ascii="Calibri" w:hAnsi="Calibri"/>
                <w:sz w:val="17"/>
              </w:rPr>
              <w:t>21</w:t>
            </w:r>
          </w:p>
        </w:tc>
        <w:tc>
          <w:tcPr>
            <w:tcW w:type="dxa" w:w="5141"/>
            <w:vAlign w:val="center"/>
          </w:tcPr>
          <w:p>
            <w:pPr>
              <w:spacing w:after="0" w:before="0"/>
            </w:pPr>
            <w:r>
              <w:rPr>
                <w:rFonts w:ascii="Calibri" w:hAnsi="Calibri"/>
                <w:sz w:val="17"/>
              </w:rPr>
              <w:t>B · Elegir con razones</w:t>
            </w:r>
          </w:p>
        </w:tc>
        <w:tc>
          <w:tcPr>
            <w:tcW w:type="dxa" w:w="5141"/>
            <w:vAlign w:val="center"/>
          </w:tcPr>
          <w:p>
            <w:pPr>
              <w:spacing w:after="0" w:before="0"/>
            </w:pPr>
            <w:r>
              <w:rPr>
                <w:rFonts w:ascii="Calibri" w:hAnsi="Calibri"/>
                <w:sz w:val="17"/>
              </w:rPr>
              <w:t>Ficha 2 y observación formativa</w:t>
            </w:r>
          </w:p>
        </w:tc>
      </w:tr>
      <w:tr>
        <w:tc>
          <w:tcPr>
            <w:tcW w:type="dxa" w:w="5141"/>
            <w:vAlign w:val="center"/>
          </w:tcPr>
          <w:p>
            <w:pPr>
              <w:spacing w:after="0" w:before="0"/>
            </w:pPr>
            <w:r>
              <w:rPr>
                <w:rFonts w:ascii="Calibri" w:hAnsi="Calibri"/>
                <w:sz w:val="17"/>
              </w:rPr>
              <w:t>23</w:t>
            </w:r>
          </w:p>
        </w:tc>
        <w:tc>
          <w:tcPr>
            <w:tcW w:type="dxa" w:w="5141"/>
            <w:vAlign w:val="center"/>
          </w:tcPr>
          <w:p>
            <w:pPr>
              <w:spacing w:after="0" w:before="0"/>
            </w:pPr>
            <w:r>
              <w:rPr>
                <w:rFonts w:ascii="Calibri" w:hAnsi="Calibri"/>
                <w:sz w:val="17"/>
              </w:rPr>
              <w:t>C · Pasar de la idea al plan</w:t>
            </w:r>
          </w:p>
        </w:tc>
        <w:tc>
          <w:tcPr>
            <w:tcW w:type="dxa" w:w="5141"/>
            <w:vAlign w:val="center"/>
          </w:tcPr>
          <w:p>
            <w:pPr>
              <w:spacing w:after="0" w:before="0"/>
            </w:pPr>
            <w:r>
              <w:rPr>
                <w:rFonts w:ascii="Calibri" w:hAnsi="Calibri"/>
                <w:sz w:val="17"/>
              </w:rPr>
              <w:t>Ficha 3 y observación formativa</w:t>
            </w:r>
          </w:p>
        </w:tc>
      </w:tr>
      <w:tr>
        <w:tc>
          <w:tcPr>
            <w:tcW w:type="dxa" w:w="5141"/>
            <w:vAlign w:val="center"/>
          </w:tcPr>
          <w:p>
            <w:pPr>
              <w:spacing w:after="0" w:before="0"/>
            </w:pPr>
            <w:r>
              <w:rPr>
                <w:rFonts w:ascii="Calibri" w:hAnsi="Calibri"/>
                <w:sz w:val="17"/>
              </w:rPr>
              <w:t>26</w:t>
            </w:r>
          </w:p>
        </w:tc>
        <w:tc>
          <w:tcPr>
            <w:tcW w:type="dxa" w:w="5141"/>
            <w:vAlign w:val="center"/>
          </w:tcPr>
          <w:p>
            <w:pPr>
              <w:spacing w:after="0" w:before="0"/>
            </w:pPr>
            <w:r>
              <w:rPr>
                <w:rFonts w:ascii="Calibri" w:hAnsi="Calibri"/>
                <w:sz w:val="17"/>
              </w:rPr>
              <w:t>D · Organizar para cumplir</w:t>
            </w:r>
          </w:p>
        </w:tc>
        <w:tc>
          <w:tcPr>
            <w:tcW w:type="dxa" w:w="5141"/>
            <w:vAlign w:val="center"/>
          </w:tcPr>
          <w:p>
            <w:pPr>
              <w:spacing w:after="0" w:before="0"/>
            </w:pPr>
            <w:r>
              <w:rPr>
                <w:rFonts w:ascii="Calibri" w:hAnsi="Calibri"/>
                <w:sz w:val="17"/>
              </w:rPr>
              <w:t>Ficha 4 y observación formativa</w:t>
            </w:r>
          </w:p>
        </w:tc>
      </w:tr>
      <w:tr>
        <w:tc>
          <w:tcPr>
            <w:tcW w:type="dxa" w:w="5141"/>
            <w:vAlign w:val="center"/>
          </w:tcPr>
          <w:p>
            <w:pPr>
              <w:spacing w:after="0" w:before="0"/>
            </w:pPr>
            <w:r>
              <w:rPr>
                <w:rFonts w:ascii="Calibri" w:hAnsi="Calibri"/>
                <w:sz w:val="17"/>
              </w:rPr>
              <w:t>29</w:t>
            </w:r>
          </w:p>
        </w:tc>
        <w:tc>
          <w:tcPr>
            <w:tcW w:type="dxa" w:w="5141"/>
            <w:vAlign w:val="center"/>
          </w:tcPr>
          <w:p>
            <w:pPr>
              <w:spacing w:after="0" w:before="0"/>
            </w:pPr>
            <w:r>
              <w:rPr>
                <w:rFonts w:ascii="Calibri" w:hAnsi="Calibri"/>
                <w:sz w:val="17"/>
              </w:rPr>
              <w:t>E · Actuar y registrar</w:t>
            </w:r>
          </w:p>
        </w:tc>
        <w:tc>
          <w:tcPr>
            <w:tcW w:type="dxa" w:w="5141"/>
            <w:vAlign w:val="center"/>
          </w:tcPr>
          <w:p>
            <w:pPr>
              <w:spacing w:after="0" w:before="0"/>
            </w:pPr>
            <w:r>
              <w:rPr>
                <w:rFonts w:ascii="Calibri" w:hAnsi="Calibri"/>
                <w:sz w:val="17"/>
              </w:rPr>
              <w:t>Ficha 5 y observación formativa</w:t>
            </w:r>
          </w:p>
        </w:tc>
      </w:tr>
      <w:tr>
        <w:tc>
          <w:tcPr>
            <w:tcW w:type="dxa" w:w="5141"/>
            <w:vAlign w:val="center"/>
          </w:tcPr>
          <w:p>
            <w:pPr>
              <w:spacing w:after="0" w:before="0"/>
            </w:pPr>
            <w:r>
              <w:rPr>
                <w:rFonts w:ascii="Calibri" w:hAnsi="Calibri"/>
                <w:sz w:val="17"/>
              </w:rPr>
              <w:t>32</w:t>
            </w:r>
          </w:p>
        </w:tc>
        <w:tc>
          <w:tcPr>
            <w:tcW w:type="dxa" w:w="5141"/>
            <w:vAlign w:val="center"/>
          </w:tcPr>
          <w:p>
            <w:pPr>
              <w:spacing w:after="0" w:before="0"/>
            </w:pPr>
            <w:r>
              <w:rPr>
                <w:rFonts w:ascii="Calibri" w:hAnsi="Calibri"/>
                <w:sz w:val="17"/>
              </w:rPr>
              <w:t>F · Aprender de los resultados</w:t>
            </w:r>
          </w:p>
        </w:tc>
        <w:tc>
          <w:tcPr>
            <w:tcW w:type="dxa" w:w="5141"/>
            <w:vAlign w:val="center"/>
          </w:tcPr>
          <w:p>
            <w:pPr>
              <w:spacing w:after="0" w:before="0"/>
            </w:pPr>
            <w:r>
              <w:rPr>
                <w:rFonts w:ascii="Calibri" w:hAnsi="Calibri"/>
                <w:sz w:val="17"/>
              </w:rPr>
              <w:t>Ficha 6 y observación formativa</w:t>
            </w:r>
          </w:p>
        </w:tc>
      </w:tr>
    </w:tbl>
    <w:p>
      <w:pPr/>
      <w:r>
        <w:rPr>
          <w:sz w:val="19"/>
        </w:rPr>
        <w:t xml:space="preserve">Las seis continuaciones prácticas originales permanecen en el tomo como «actividades complementarias (opcionales)» de apoyo y refuerzo de Orientación; en este plan no equivalen a seis horas o jornadas adicionales. Cuando la clase requiera intervención externa, aplazar hasta recibir permisos; en su lugar desarrollar simulación o estudio de caso.</w:t>
      </w:r>
    </w:p>
    <w:sectPr>
      <w:footerReference w:type="default" r:id="rId9"/>
      <w:pgSz w:w="18720" w:h="12240" w:orient="landscape"/>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Página </w:t>
    </w:r>
    <w:fldSimple w:instr="PAGE"/>
    <w:r>
      <w:rPr>
        <w:sz w:val="14"/>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