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PLAN ANUAL DETALLADO</w:t>
      </w:r>
    </w:p>
    <w:p>
      <w:pPr>
        <w:jc w:val="center"/>
      </w:pPr>
      <w:r>
        <w:rPr>
          <w:sz w:val="20"/>
        </w:rPr>
        <w:t>Disciplina: Desarrollo Personal y Social  ·  Curso: 8.º grado  ·  Tercer Ciclo de la Educación Escolar Básica  ·  3 horas cátedra semanales  ·  Arquitectura anual: 36 encuentros / 108 HC (18 + 18)</w:t>
      </w:r>
    </w:p>
    <w:p>
      <w:pPr>
        <w:jc w:val="center"/>
      </w:pPr>
      <w:r>
        <w:rPr>
          <w:i/>
          <w:sz w:val="18"/>
        </w:rPr>
        <w:t>República del Paraguay · 2026</w:t>
      </w:r>
    </w:p>
    <w:p/>
    <w:tbl>
      <w:tblPr>
        <w:tblStyle w:val="TableGrid"/>
        <w:tblW w:type="auto" w:w="0"/>
        <w:tblLook w:firstColumn="1" w:firstRow="1" w:lastColumn="0" w:lastRow="0" w:noHBand="0" w:noVBand="1" w:val="04A0"/>
        <w:tblCellMar>
          <w:top w:w="40" w:type="dxa"/>
          <w:bottom w:w="40" w:type="dxa"/>
          <w:left w:w="80" w:type="dxa"/>
          <w:right w:w="80" w:type="dxa"/>
        </w:tblCellMar>
      </w:tblPr>
      <w:tblGrid>
        <w:gridCol w:w="2163"/>
        <w:gridCol w:w="2163"/>
        <w:gridCol w:w="2163"/>
        <w:gridCol w:w="2163"/>
        <w:gridCol w:w="2163"/>
        <w:gridCol w:w="2163"/>
        <w:gridCol w:w="2163"/>
      </w:tblGrid>
      <w:tr>
        <w:trPr>
          <w:cantSplit/>
          <w:tblHeader w:val="true"/>
        </w:trPr>
        <w:tc>
          <w:tcPr>
            <w:tcW w:type="dxa" w:w="624"/>
            <w:shd w:val="clear" w:fill="5D4037"/>
          </w:tcPr>
          <w:p>
            <w:pPr>
              <w:jc w:val="center"/>
            </w:pPr>
            <w:r>
              <w:rPr>
                <w:rFonts w:ascii="Arial" w:hAnsi="Arial"/>
                <w:b/>
                <w:color w:val="FFFFFF"/>
                <w:sz w:val="17"/>
              </w:rPr>
              <w:t>N°</w:t>
            </w:r>
          </w:p>
        </w:tc>
        <w:tc>
          <w:tcPr>
            <w:tcW w:type="dxa" w:w="2948"/>
            <w:shd w:val="clear" w:fill="5D4037"/>
          </w:tcPr>
          <w:p>
            <w:pPr>
              <w:jc w:val="center"/>
            </w:pPr>
            <w:r>
              <w:rPr>
                <w:rFonts w:ascii="Arial" w:hAnsi="Arial"/>
                <w:b/>
                <w:color w:val="FFFFFF"/>
                <w:sz w:val="17"/>
              </w:rPr>
              <w:t>TEMAS</w:t>
            </w:r>
          </w:p>
        </w:tc>
        <w:tc>
          <w:tcPr>
            <w:tcW w:type="dxa" w:w="4082"/>
            <w:shd w:val="clear" w:fill="5D4037"/>
          </w:tcPr>
          <w:p>
            <w:pPr>
              <w:jc w:val="center"/>
            </w:pPr>
            <w:r>
              <w:rPr>
                <w:rFonts w:ascii="Arial" w:hAnsi="Arial"/>
                <w:b/>
                <w:color w:val="FFFFFF"/>
                <w:sz w:val="17"/>
              </w:rPr>
              <w:t>INDICADORES DE LOGRO</w:t>
            </w:r>
          </w:p>
        </w:tc>
        <w:tc>
          <w:tcPr>
            <w:tcW w:type="dxa" w:w="964"/>
            <w:shd w:val="clear" w:fill="5D4037"/>
          </w:tcPr>
          <w:p>
            <w:pPr>
              <w:jc w:val="center"/>
            </w:pPr>
            <w:r>
              <w:rPr>
                <w:rFonts w:ascii="Arial" w:hAnsi="Arial"/>
                <w:b/>
                <w:color w:val="FFFFFF"/>
                <w:sz w:val="17"/>
              </w:rPr>
              <w:t>TIEMPO</w:t>
            </w:r>
          </w:p>
        </w:tc>
        <w:tc>
          <w:tcPr>
            <w:tcW w:type="dxa" w:w="3175"/>
            <w:shd w:val="clear" w:fill="5D4037"/>
          </w:tcPr>
          <w:p>
            <w:pPr>
              <w:jc w:val="center"/>
            </w:pPr>
            <w:r>
              <w:rPr>
                <w:rFonts w:ascii="Arial" w:hAnsi="Arial"/>
                <w:b/>
                <w:color w:val="FFFFFF"/>
                <w:sz w:val="17"/>
              </w:rPr>
              <w:t>PROCEDIMIENTOS</w:t>
            </w:r>
          </w:p>
        </w:tc>
        <w:tc>
          <w:tcPr>
            <w:tcW w:type="dxa" w:w="2494"/>
            <w:shd w:val="clear" w:fill="5D4037"/>
          </w:tcPr>
          <w:p>
            <w:pPr>
              <w:jc w:val="center"/>
            </w:pPr>
            <w:r>
              <w:rPr>
                <w:rFonts w:ascii="Arial" w:hAnsi="Arial"/>
                <w:b/>
                <w:color w:val="FFFFFF"/>
                <w:sz w:val="17"/>
              </w:rPr>
              <w:t>INSTRUMENTOS DE EVALUACIÓN</w:t>
            </w:r>
          </w:p>
        </w:tc>
        <w:tc>
          <w:tcPr>
            <w:tcW w:type="dxa" w:w="1701"/>
            <w:shd w:val="clear" w:fill="5D4037"/>
          </w:tcPr>
          <w:p>
            <w:pPr>
              <w:jc w:val="center"/>
            </w:pPr>
            <w:r>
              <w:rPr>
                <w:rFonts w:ascii="Arial" w:hAnsi="Arial"/>
                <w:b/>
                <w:color w:val="FFFFFF"/>
                <w:sz w:val="17"/>
              </w:rPr>
              <w:t>OBSERVACIÓN</w:t>
            </w:r>
          </w:p>
        </w:tc>
      </w:tr>
      <w:tr>
        <w:trPr>
          <w:cantSplit/>
        </w:trPr>
        <w:tc>
          <w:tcPr>
            <w:tcW w:type="dxa" w:w="15988"/>
            <w:gridSpan w:val="7"/>
            <w:shd w:val="clear" w:fill="1B4F72"/>
          </w:tcPr>
          <w:p>
            <w:r>
              <w:rPr>
                <w:rFonts w:ascii="Arial" w:hAnsi="Arial"/>
                <w:b/>
                <w:color w:val="FFFFFF"/>
                <w:sz w:val="18"/>
              </w:rPr>
              <w:t>PRIMERA ETAPA · Febrero – junio · 18 encuentros / 54 HC</w:t>
            </w:r>
          </w:p>
        </w:tc>
      </w:tr>
      <w:tr>
        <w:trPr>
          <w:cantSplit/>
        </w:trPr>
        <w:tc>
          <w:tcPr>
            <w:tcW w:type="dxa" w:w="15988"/>
            <w:gridSpan w:val="7"/>
            <w:shd w:val="clear" w:fill="6A3E7A"/>
          </w:tcPr>
          <w:p>
            <w:r>
              <w:rPr>
                <w:rFonts w:ascii="Arial" w:hAnsi="Arial"/>
                <w:b/>
                <w:color w:val="FFFFFF"/>
                <w:sz w:val="18"/>
              </w:rPr>
              <w:t>UNIDAD 1 — SENTIDO DE PERTENENCIA</w:t>
              <w:br/>
              <w:t>Capacidades: Reconoce la estructura y el funcionamiento de la comunidad educativa; participa en la elaboración de proyectos institucionales.</w:t>
              <w:br/>
              <w:t>Período aproximado: Febrero – marzo</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1</w:t>
            </w:r>
          </w:p>
        </w:tc>
        <w:tc>
          <w:tcPr>
            <w:tcW w:type="dxa" w:w="2948"/>
          </w:tcPr>
          <w:p>
            <w:r>
              <w:rPr>
                <w:rFonts w:ascii="Arial" w:hAnsi="Arial"/>
                <w:b w:val="0"/>
                <w:sz w:val="17"/>
              </w:rPr>
              <w:t>La comunidad educativa del 8.º grado: nuevos docentes y compañeros, organigrama y funciones de cada estamento</w:t>
            </w:r>
          </w:p>
        </w:tc>
        <w:tc>
          <w:tcPr>
            <w:tcW w:type="dxa" w:w="4082"/>
          </w:tcPr>
          <w:p>
            <w:r>
              <w:rPr>
                <w:rFonts w:ascii="Arial" w:hAnsi="Arial"/>
                <w:b w:val="0"/>
                <w:sz w:val="17"/>
              </w:rPr>
              <w:t>• Identifica los estamentos de su comunidad educativa y la función principal de cada uno. • Ubica en el organigrama a las personas a quienes puede acudir según la situación. • Propone acciones concretas para integrar a compañeros y docentes nuevos.</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Prueba diagnóstica inicial; presentación del hilo del año (el grupo del 8.º); lectura guiada del organigrama de la Figura 1.1; dinámica «Mapa vivo del colegio».</w:t>
            </w:r>
          </w:p>
        </w:tc>
        <w:tc>
          <w:tcPr>
            <w:tcW w:type="dxa" w:w="2494"/>
          </w:tcPr>
          <w:p>
            <w:r>
              <w:rPr>
                <w:rFonts w:ascii="Arial" w:hAnsi="Arial"/>
                <w:b w:val="0"/>
                <w:sz w:val="17"/>
              </w:rPr>
              <w:t>Prueba diagnóstica (sin nota); lista de cotejo de participación en la dinámica grupal;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w:t>
            </w:r>
          </w:p>
        </w:tc>
        <w:tc>
          <w:tcPr>
            <w:tcW w:type="dxa" w:w="2948"/>
          </w:tcPr>
          <w:p>
            <w:r>
              <w:rPr>
                <w:rFonts w:ascii="Arial" w:hAnsi="Arial"/>
                <w:b w:val="0"/>
                <w:sz w:val="17"/>
              </w:rPr>
              <w:t>Plan de estudio de 8.º grado: áreas, disciplinas y carga horaria. Sistema de evaluación, etapas del año lectivo e instrumentos evaluativos.</w:t>
            </w:r>
          </w:p>
        </w:tc>
        <w:tc>
          <w:tcPr>
            <w:tcW w:type="dxa" w:w="4082"/>
          </w:tcPr>
          <w:p>
            <w:r>
              <w:rPr>
                <w:rFonts w:ascii="Arial" w:hAnsi="Arial"/>
                <w:b w:val="0"/>
                <w:sz w:val="17"/>
              </w:rPr>
              <w:t>• Identifica áreas y disciplinas del grado y consulta su carga horaria en el plan/horario institucional vigente.</w:t>
              <w:br/>
              <w:t>• Explica cómo se organiza el año lectivo en etapas.</w:t>
              <w:br/>
              <w:t>• Diferencia instrumentos de evaluación y usa resultados para decidir qué reforzar.</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del plan de estudio/horario institucional; completado de tabla Área / Disciplina / HC; lectura de la línea del año lectivo; comparación de instrumentos; dinámica «Traductores de boletín».</w:t>
            </w:r>
          </w:p>
        </w:tc>
        <w:tc>
          <w:tcPr>
            <w:tcW w:type="dxa" w:w="2494"/>
          </w:tcPr>
          <w:p>
            <w:r>
              <w:rPr>
                <w:rFonts w:ascii="Arial" w:hAnsi="Arial"/>
                <w:b w:val="0"/>
                <w:sz w:val="17"/>
              </w:rPr>
              <w:t>Tabla del plan de estudio completada con fuente institucional; registro de observación;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w:t>
            </w:r>
          </w:p>
        </w:tc>
        <w:tc>
          <w:tcPr>
            <w:tcW w:type="dxa" w:w="2948"/>
          </w:tcPr>
          <w:p>
            <w:r>
              <w:rPr>
                <w:rFonts w:ascii="Arial" w:hAnsi="Arial"/>
                <w:b w:val="0"/>
                <w:sz w:val="17"/>
              </w:rPr>
              <w:t>El Proyecto Educativo Institucional; el proyecto: definición, importancia, estructura y elaboración</w:t>
            </w:r>
          </w:p>
        </w:tc>
        <w:tc>
          <w:tcPr>
            <w:tcW w:type="dxa" w:w="4082"/>
          </w:tcPr>
          <w:p>
            <w:r>
              <w:rPr>
                <w:rFonts w:ascii="Arial" w:hAnsi="Arial"/>
                <w:b w:val="0"/>
                <w:sz w:val="17"/>
              </w:rPr>
              <w:t>• Explica qué es el PEI y por qué orienta la vida de la institución. • Identifica las partes de un proyecto y el orden en que se elaboran. • Propone una actividad viable vinculada al PEI de su institución.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comentada del PEI institucional (fragmentos); análisis del esquema de la Figura 3.1; elaboración grupal de un mini proyecto en la dinámica «Semillero de proyectos».</w:t>
            </w:r>
          </w:p>
        </w:tc>
        <w:tc>
          <w:tcPr>
            <w:tcW w:type="dxa" w:w="2494"/>
          </w:tcPr>
          <w:p>
            <w:r>
              <w:rPr>
                <w:rFonts w:ascii="Arial" w:hAnsi="Arial"/>
                <w:b w:val="0"/>
                <w:sz w:val="17"/>
              </w:rPr>
              <w:t>Rúbrica breve del mini proyecto grupal (5 partes presentes y coherentes); ejercitario de la clase.</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4</w:t>
            </w:r>
          </w:p>
        </w:tc>
        <w:tc>
          <w:tcPr>
            <w:tcW w:type="dxa" w:w="2948"/>
          </w:tcPr>
          <w:p>
            <w:r>
              <w:rPr>
                <w:rFonts w:ascii="Arial" w:hAnsi="Arial"/>
                <w:b w:val="0"/>
                <w:sz w:val="17"/>
              </w:rPr>
              <w:t>Evaluación de la Unidad 1 — Sentido de pertenencia</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1.</w:t>
            </w:r>
          </w:p>
        </w:tc>
      </w:tr>
      <w:tr>
        <w:trPr>
          <w:cantSplit/>
        </w:trPr>
        <w:tc>
          <w:tcPr>
            <w:tcW w:type="dxa" w:w="15988"/>
            <w:gridSpan w:val="7"/>
            <w:shd w:val="clear" w:fill="6A3E7A"/>
          </w:tcPr>
          <w:p>
            <w:r>
              <w:rPr>
                <w:rFonts w:ascii="Arial" w:hAnsi="Arial"/>
                <w:b/>
                <w:color w:val="FFFFFF"/>
                <w:sz w:val="18"/>
              </w:rPr>
              <w:t>UNIDAD 2 — AUTOCONOCIMIENTO</w:t>
              <w:br/>
              <w:t>Capacidades: Comprende los cambios propios de la adolescencia; fortalece su autoestima, su identidad y su comunicación asertiva.</w:t>
              <w:br/>
              <w:t>Período aproximado: Marzo – abril</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5</w:t>
            </w:r>
          </w:p>
        </w:tc>
        <w:tc>
          <w:tcPr>
            <w:tcW w:type="dxa" w:w="2948"/>
          </w:tcPr>
          <w:p>
            <w:r>
              <w:rPr>
                <w:rFonts w:ascii="Arial" w:hAnsi="Arial"/>
                <w:b w:val="0"/>
                <w:sz w:val="17"/>
              </w:rPr>
              <w:t>Características del adolescente: físicas, psicológicas, emocionales y sociales</w:t>
            </w:r>
          </w:p>
        </w:tc>
        <w:tc>
          <w:tcPr>
            <w:tcW w:type="dxa" w:w="4082"/>
          </w:tcPr>
          <w:p>
            <w:r>
              <w:rPr>
                <w:rFonts w:ascii="Arial" w:hAnsi="Arial"/>
                <w:b w:val="0"/>
                <w:sz w:val="17"/>
              </w:rPr>
              <w:t>• Describe los principales cambios físicos, psicológicos, emocionales y sociales de la adolescencia. • Reconoce en su propia experiencia algunas de esas características, con naturalidad y sin juzgarse. • Explica por qué el ritmo de los cambios es distinto en cada persona.</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 la Figura 4.1 por cuadrantes; relato del caso «El estirón de Tobías»; dinámica «Antes y ahora» con participación voluntaria.</w:t>
            </w:r>
          </w:p>
        </w:tc>
        <w:tc>
          <w:tcPr>
            <w:tcW w:type="dxa" w:w="2494"/>
          </w:tcPr>
          <w:p>
            <w:r>
              <w:rPr>
                <w:rFonts w:ascii="Arial" w:hAnsi="Arial"/>
                <w:b w:val="0"/>
                <w:sz w:val="17"/>
              </w:rPr>
              <w:t>Registro de observación de actitudes de respeto en la dinámica;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6</w:t>
            </w:r>
          </w:p>
        </w:tc>
        <w:tc>
          <w:tcPr>
            <w:tcW w:type="dxa" w:w="2948"/>
          </w:tcPr>
          <w:p>
            <w:r>
              <w:rPr>
                <w:rFonts w:ascii="Arial" w:hAnsi="Arial"/>
                <w:b w:val="0"/>
                <w:sz w:val="17"/>
              </w:rPr>
              <w:t>Autoestima: concepto y tipos; personalidad y carácter; potencialidades, fortalezas y debilidades; intereses, aptitudes y actitud personal</w:t>
            </w:r>
          </w:p>
        </w:tc>
        <w:tc>
          <w:tcPr>
            <w:tcW w:type="dxa" w:w="4082"/>
          </w:tcPr>
          <w:p>
            <w:r>
              <w:rPr>
                <w:rFonts w:ascii="Arial" w:hAnsi="Arial"/>
                <w:b w:val="0"/>
                <w:sz w:val="17"/>
              </w:rPr>
              <w:t>• Define autoestima y distingue sus niveles con ejemplos. • Identifica fortalezas, debilidades, intereses y aptitudes propias. • Diferencia personalidad, carácter y actitud personal en situaciones concretas.</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 la escalera de la Figura 5.1; dinámica del anuncio personal y «El espejo del grupo»; reescritura guiada de frases descalificadoras.</w:t>
            </w:r>
          </w:p>
        </w:tc>
        <w:tc>
          <w:tcPr>
            <w:tcW w:type="dxa" w:w="2494"/>
          </w:tcPr>
          <w:p>
            <w:r>
              <w:rPr>
                <w:rFonts w:ascii="Arial" w:hAnsi="Arial"/>
                <w:b w:val="0"/>
                <w:sz w:val="17"/>
              </w:rPr>
              <w:t>Lista de cotejo de la dinámica (respeto, participación); producción escrita de «Mirate» (revisión voluntaria);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7</w:t>
            </w:r>
          </w:p>
        </w:tc>
        <w:tc>
          <w:tcPr>
            <w:tcW w:type="dxa" w:w="2948"/>
          </w:tcPr>
          <w:p>
            <w:r>
              <w:rPr>
                <w:rFonts w:ascii="Arial" w:hAnsi="Arial"/>
                <w:b w:val="0"/>
                <w:sz w:val="17"/>
              </w:rPr>
              <w:t>Identidad personal; habilidades sociales; formas de comunicación; asertividad; factores que influyen en la construcción de la identidad</w:t>
            </w:r>
          </w:p>
        </w:tc>
        <w:tc>
          <w:tcPr>
            <w:tcW w:type="dxa" w:w="4082"/>
          </w:tcPr>
          <w:p>
            <w:r>
              <w:rPr>
                <w:rFonts w:ascii="Arial" w:hAnsi="Arial"/>
                <w:b w:val="0"/>
                <w:sz w:val="17"/>
              </w:rPr>
              <w:t>• Explica qué es la identidad personal y qué factores influyen en su construcción. • Distingue los estilos de comunicación pasivo, asertivo y agresivo en diálogos concretos. • Formula respuestas asertivas ante situaciones de presión del grupo.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Análisis de la Figura 6.1 y de la tabla de estilos; role playing en la dinámica «Laboratorio de respuestas»; reescritura asertiva de quejas reales.</w:t>
            </w:r>
          </w:p>
        </w:tc>
        <w:tc>
          <w:tcPr>
            <w:tcW w:type="dxa" w:w="2494"/>
          </w:tcPr>
          <w:p>
            <w:r>
              <w:rPr>
                <w:rFonts w:ascii="Arial" w:hAnsi="Arial"/>
                <w:b w:val="0"/>
                <w:sz w:val="17"/>
              </w:rPr>
              <w:t>Rúbrica breve de la dramatización (claridad y respeto); ejercitario de la clase.</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8</w:t>
            </w:r>
          </w:p>
        </w:tc>
        <w:tc>
          <w:tcPr>
            <w:tcW w:type="dxa" w:w="2948"/>
          </w:tcPr>
          <w:p>
            <w:r>
              <w:rPr>
                <w:rFonts w:ascii="Arial" w:hAnsi="Arial"/>
                <w:b w:val="0"/>
                <w:sz w:val="17"/>
              </w:rPr>
              <w:t>Evaluación de la Unidad 2 — Autoconocimiento</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2.</w:t>
            </w:r>
          </w:p>
        </w:tc>
      </w:tr>
      <w:tr>
        <w:trPr>
          <w:cantSplit/>
        </w:trPr>
        <w:tc>
          <w:tcPr>
            <w:tcW w:type="dxa" w:w="15988"/>
            <w:gridSpan w:val="7"/>
            <w:shd w:val="clear" w:fill="6A3E7A"/>
          </w:tcPr>
          <w:p>
            <w:r>
              <w:rPr>
                <w:rFonts w:ascii="Arial" w:hAnsi="Arial"/>
                <w:b/>
                <w:color w:val="FFFFFF"/>
                <w:sz w:val="18"/>
              </w:rPr>
              <w:t>UNIDAD 3 — VIDA AFECTIVA</w:t>
              <w:br/>
              <w:t>Capacidades: Valora los estados afectivos y las relaciones positivas; identifica relaciones violentas, adicciones e influencias grupales, y su red de apoyo.</w:t>
              <w:br/>
              <w:t>Período aproximado: Abril – mayo</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9</w:t>
            </w:r>
          </w:p>
        </w:tc>
        <w:tc>
          <w:tcPr>
            <w:tcW w:type="dxa" w:w="2948"/>
          </w:tcPr>
          <w:p>
            <w:r>
              <w:rPr>
                <w:rFonts w:ascii="Arial" w:hAnsi="Arial"/>
                <w:b w:val="0"/>
                <w:sz w:val="17"/>
              </w:rPr>
              <w:t>Estados afectivos: tipos, formas de expresión, importancia y autorregulación; relaciones humanas: conflicto y liderazgo</w:t>
            </w:r>
          </w:p>
        </w:tc>
        <w:tc>
          <w:tcPr>
            <w:tcW w:type="dxa" w:w="4082"/>
          </w:tcPr>
          <w:p>
            <w:r>
              <w:rPr>
                <w:rFonts w:ascii="Arial" w:hAnsi="Arial"/>
                <w:b w:val="0"/>
                <w:sz w:val="17"/>
              </w:rPr>
              <w:t>• Distingue emociones, sentimientos y estados de ánimo con ejemplos propios. • Aplica estrategias sencillas de autorregulación emocional ante situaciones cotidianas. • Explica el papel de las emociones en los conflictos y en el liderazgo positivo.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 la rueda de la Figura 7.1; análisis del caso «El penal de Tobías»; construcción cooperativa del diccionario emocional del grado.</w:t>
            </w:r>
          </w:p>
        </w:tc>
        <w:tc>
          <w:tcPr>
            <w:tcW w:type="dxa" w:w="2494"/>
          </w:tcPr>
          <w:p>
            <w:r>
              <w:rPr>
                <w:rFonts w:ascii="Arial" w:hAnsi="Arial"/>
                <w:b w:val="0"/>
                <w:sz w:val="17"/>
              </w:rPr>
              <w:t>Producción grupal (diccionario) valorada con lista de cotejo;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10</w:t>
            </w:r>
          </w:p>
        </w:tc>
        <w:tc>
          <w:tcPr>
            <w:tcW w:type="dxa" w:w="2948"/>
          </w:tcPr>
          <w:p>
            <w:r>
              <w:rPr>
                <w:rFonts w:ascii="Arial" w:hAnsi="Arial"/>
                <w:b w:val="0"/>
                <w:sz w:val="17"/>
              </w:rPr>
              <w:t>Sexualidad: concepto e implicancias (diferencia entre sexo y sexualidad); ejercicio responsable de la sexualidad</w:t>
            </w:r>
          </w:p>
        </w:tc>
        <w:tc>
          <w:tcPr>
            <w:tcW w:type="dxa" w:w="4082"/>
          </w:tcPr>
          <w:p>
            <w:r>
              <w:rPr>
                <w:rFonts w:ascii="Arial" w:hAnsi="Arial"/>
                <w:b w:val="0"/>
                <w:sz w:val="17"/>
              </w:rPr>
              <w:t>• Diferencia los conceptos de sexo y sexualidad con precisión. • Explica por qué la sexualidad forma parte del desarrollo integral de la persona. • Identifica qué significa un ejercicio responsable de la sexualidad y a qué fuentes confiables acudir.</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Exposición dialogada con la tabla sexo/sexualidad; dinámica de clasificación «Mito o dato» con tarjetas preparadas por el docente; buzón de preguntas anónimas.</w:t>
            </w:r>
          </w:p>
        </w:tc>
        <w:tc>
          <w:tcPr>
            <w:tcW w:type="dxa" w:w="2494"/>
          </w:tcPr>
          <w:p>
            <w:r>
              <w:rPr>
                <w:rFonts w:ascii="Arial" w:hAnsi="Arial"/>
                <w:b w:val="0"/>
                <w:sz w:val="17"/>
              </w:rPr>
              <w:t>Lista de cotejo de la dinámica (fundamentación, respeto); ejercitario de la clase; buzón de preguntas como insumo docente.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11</w:t>
            </w:r>
          </w:p>
        </w:tc>
        <w:tc>
          <w:tcPr>
            <w:tcW w:type="dxa" w:w="2948"/>
          </w:tcPr>
          <w:p>
            <w:r>
              <w:rPr>
                <w:rFonts w:ascii="Arial" w:hAnsi="Arial"/>
                <w:b w:val="0"/>
                <w:sz w:val="17"/>
              </w:rPr>
              <w:t>Situaciones de vulnerabilidad; noviazgo: características y compromiso; relaciones violentas y coercitivas; embarazo adolescente: causas y consecuencias</w:t>
            </w:r>
          </w:p>
        </w:tc>
        <w:tc>
          <w:tcPr>
            <w:tcW w:type="dxa" w:w="4082"/>
          </w:tcPr>
          <w:p>
            <w:r>
              <w:rPr>
                <w:rFonts w:ascii="Arial" w:hAnsi="Arial"/>
                <w:b w:val="0"/>
                <w:sz w:val="17"/>
              </w:rPr>
              <w:t>• Distingue señales de una relación sana, de alerta y de violencia en el noviazgo. • Explica qué es la coerción y por qué anula el consentimiento. • Analiza causas y consecuencias del embarazo adolescente y las redes de ayuda disponibles.</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del semáforo de la Figura 9.1; estudio de casos ficticios en la dinámica «Consultorio de amistades»; construcción del protocolo de amigos del grado.</w:t>
            </w:r>
          </w:p>
        </w:tc>
        <w:tc>
          <w:tcPr>
            <w:tcW w:type="dxa" w:w="2494"/>
          </w:tcPr>
          <w:p>
            <w:r>
              <w:rPr>
                <w:rFonts w:ascii="Arial" w:hAnsi="Arial"/>
                <w:b w:val="0"/>
                <w:sz w:val="17"/>
              </w:rPr>
              <w:t>Rúbrica breve de las respuestas a los casos (detección de señales, orientación correcta);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12</w:t>
            </w:r>
          </w:p>
        </w:tc>
        <w:tc>
          <w:tcPr>
            <w:tcW w:type="dxa" w:w="2948"/>
          </w:tcPr>
          <w:p>
            <w:r>
              <w:rPr>
                <w:rFonts w:ascii="Arial" w:hAnsi="Arial"/>
                <w:b w:val="0"/>
                <w:sz w:val="17"/>
              </w:rPr>
              <w:t>Adicciones: ludopatía y otras; tribus urbanas: definición, características y causas; relaciones afectivas positivas y red de apoyo</w:t>
            </w:r>
          </w:p>
        </w:tc>
        <w:tc>
          <w:tcPr>
            <w:tcW w:type="dxa" w:w="4082"/>
          </w:tcPr>
          <w:p>
            <w:r>
              <w:rPr>
                <w:rFonts w:ascii="Arial" w:hAnsi="Arial"/>
                <w:b w:val="0"/>
                <w:sz w:val="17"/>
              </w:rPr>
              <w:t>• Explica qué es una adicción y distingue ludopatía/trastorno por videojuegos de un uso digital frecuente, sin diagnosticar por horas.</w:t>
              <w:br/>
              <w:t>• Analiza culturas juveniles o grupos de pertenencia sin estigmatizar.</w:t>
              <w:br/>
              <w:t>• Reconoce categorías de una red de apoyo y explica cuándo activarla sin revelar datos personales.</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Análisis de señales de interferencia y deterioro mediante casos ficticios; discusión sobre grupos de pertenencia; construcción opcional de red de apoyo por categorías; campaña gráfica.</w:t>
            </w:r>
          </w:p>
        </w:tc>
        <w:tc>
          <w:tcPr>
            <w:tcW w:type="dxa" w:w="2494"/>
          </w:tcPr>
          <w:p>
            <w:r>
              <w:rPr>
                <w:rFonts w:ascii="Arial" w:hAnsi="Arial"/>
                <w:b w:val="0"/>
                <w:sz w:val="17"/>
              </w:rPr>
              <w:t>Rúbrica de campaña; ejercitario. La red personal no se califica por nombres o datos revelados.</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13</w:t>
            </w:r>
          </w:p>
        </w:tc>
        <w:tc>
          <w:tcPr>
            <w:tcW w:type="dxa" w:w="2948"/>
          </w:tcPr>
          <w:p>
            <w:r>
              <w:rPr>
                <w:rFonts w:ascii="Arial" w:hAnsi="Arial"/>
                <w:b w:val="0"/>
                <w:sz w:val="17"/>
              </w:rPr>
              <w:t>Evaluación de la Unidad 3 — Vida afectiva</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3.</w:t>
            </w:r>
          </w:p>
        </w:tc>
      </w:tr>
      <w:tr>
        <w:trPr>
          <w:cantSplit/>
        </w:trPr>
        <w:tc>
          <w:tcPr>
            <w:tcW w:type="dxa" w:w="15988"/>
            <w:gridSpan w:val="7"/>
            <w:shd w:val="clear" w:fill="6A3E7A"/>
          </w:tcPr>
          <w:p>
            <w:r>
              <w:rPr>
                <w:rFonts w:ascii="Arial" w:hAnsi="Arial"/>
                <w:b/>
                <w:color w:val="FFFFFF"/>
                <w:sz w:val="18"/>
              </w:rPr>
              <w:t>UNIDAD 4 — DERECHOS Y RESPONSABILIDADES</w:t>
              <w:br/>
              <w:t>Capacidades: Investiga los Derechos Humanos y el derecho a la educación; analiza derechos y obligaciones y las rutas de protección.</w:t>
              <w:br/>
              <w:t>Período aproximado: Mayo – junio</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14</w:t>
            </w:r>
          </w:p>
        </w:tc>
        <w:tc>
          <w:tcPr>
            <w:tcW w:type="dxa" w:w="2948"/>
          </w:tcPr>
          <w:p>
            <w:r>
              <w:rPr>
                <w:rFonts w:ascii="Arial" w:hAnsi="Arial"/>
                <w:b w:val="0"/>
                <w:sz w:val="17"/>
              </w:rPr>
              <w:t>Derechos Humanos y derecho a la educación; el derecho del niño, la niña y el adolescente a una educación digna</w:t>
            </w:r>
          </w:p>
        </w:tc>
        <w:tc>
          <w:tcPr>
            <w:tcW w:type="dxa" w:w="4082"/>
          </w:tcPr>
          <w:p>
            <w:r>
              <w:rPr>
                <w:rFonts w:ascii="Arial" w:hAnsi="Arial"/>
                <w:b w:val="0"/>
                <w:sz w:val="17"/>
              </w:rPr>
              <w:t>• Explica qué son los Derechos Humanos y sus características básicas. • Ubica el derecho a la educación en los principales documentos internacionales y nacionales. • Argumenta por qué la educación digna es un derecho y no un favor.</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 la línea de tiempo de la Figura 11.1; análisis de documentos con la tabla comparativa; estudio de caso periodístico en la dinámica «Detectives de derechos».</w:t>
            </w:r>
          </w:p>
        </w:tc>
        <w:tc>
          <w:tcPr>
            <w:tcW w:type="dxa" w:w="2494"/>
          </w:tcPr>
          <w:p>
            <w:r>
              <w:rPr>
                <w:rFonts w:ascii="Arial" w:hAnsi="Arial"/>
                <w:b w:val="0"/>
                <w:sz w:val="17"/>
              </w:rPr>
              <w:t>Lista de cotejo del informe grupal (derecho, documento, camino);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15</w:t>
            </w:r>
          </w:p>
        </w:tc>
        <w:tc>
          <w:tcPr>
            <w:tcW w:type="dxa" w:w="2948"/>
          </w:tcPr>
          <w:p>
            <w:r>
              <w:rPr>
                <w:rFonts w:ascii="Arial" w:hAnsi="Arial"/>
                <w:b w:val="0"/>
                <w:sz w:val="17"/>
              </w:rPr>
              <w:t>La Constitución Nacional y la Ley General de Educación: derechos y obligaciones de docentes y estudiantes</w:t>
            </w:r>
          </w:p>
        </w:tc>
        <w:tc>
          <w:tcPr>
            <w:tcW w:type="dxa" w:w="4082"/>
          </w:tcPr>
          <w:p>
            <w:r>
              <w:rPr>
                <w:rFonts w:ascii="Arial" w:hAnsi="Arial"/>
                <w:b w:val="0"/>
                <w:sz w:val="17"/>
              </w:rPr>
              <w:t>• Identifica derechos y obligaciones de los docentes según la normativa vigente. • Relaciona los derechos del alumno (art. 125 de la Ley 1264) con situaciones escolares concretas. • Explica cómo derechos y deberes de ambos estamentos se complementan en el aula.</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comentada de los arts. 125 y 126 de la Ley 1264/98; análisis de la tabla de derechos y deberes; dinámica «Juicio simulado amistoso» con casos escolares.</w:t>
            </w:r>
          </w:p>
        </w:tc>
        <w:tc>
          <w:tcPr>
            <w:tcW w:type="dxa" w:w="2494"/>
          </w:tcPr>
          <w:p>
            <w:r>
              <w:rPr>
                <w:rFonts w:ascii="Arial" w:hAnsi="Arial"/>
                <w:b w:val="0"/>
                <w:sz w:val="17"/>
              </w:rPr>
              <w:t>Rúbrica del juicio simulado (uso de la normativa, respeto);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16</w:t>
            </w:r>
          </w:p>
        </w:tc>
        <w:tc>
          <w:tcPr>
            <w:tcW w:type="dxa" w:w="2948"/>
          </w:tcPr>
          <w:p>
            <w:r>
              <w:rPr>
                <w:rFonts w:ascii="Arial" w:hAnsi="Arial"/>
                <w:b w:val="0"/>
                <w:sz w:val="17"/>
              </w:rPr>
              <w:t>Vulneración de derechos: maltrato, abuso, acoso escolar; instituciones protectoras y rutas de denuncia</w:t>
            </w:r>
          </w:p>
        </w:tc>
        <w:tc>
          <w:tcPr>
            <w:tcW w:type="dxa" w:w="4082"/>
          </w:tcPr>
          <w:p>
            <w:r>
              <w:rPr>
                <w:rFonts w:ascii="Arial" w:hAnsi="Arial"/>
                <w:b w:val="0"/>
                <w:sz w:val="17"/>
              </w:rPr>
              <w:t>• Reconoce situaciones de vulneración de derechos en la vida escolar y familiar. • Describe la ruta de protección: adulto de confianza, institución educativa, CODENI y líneas de ayuda. • Explica el alcance de la Ley 4633/2012 contra el acoso escolar.</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 la ruta de la Figura 13.1; análisis de la Ley 4633/2012 con casos; construcción del mapa de protección real del colegio.</w:t>
            </w:r>
          </w:p>
        </w:tc>
        <w:tc>
          <w:tcPr>
            <w:tcW w:type="dxa" w:w="2494"/>
          </w:tcPr>
          <w:p>
            <w:r>
              <w:rPr>
                <w:rFonts w:ascii="Arial" w:hAnsi="Arial"/>
                <w:b w:val="0"/>
                <w:sz w:val="17"/>
              </w:rPr>
              <w:t>Afiche del mapa de protección (rúbrica: actores, números, claridad); ejercitario de la clase.</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17</w:t>
            </w:r>
          </w:p>
        </w:tc>
        <w:tc>
          <w:tcPr>
            <w:tcW w:type="dxa" w:w="2948"/>
          </w:tcPr>
          <w:p>
            <w:r>
              <w:rPr>
                <w:rFonts w:ascii="Arial" w:hAnsi="Arial"/>
                <w:b w:val="0"/>
                <w:sz w:val="17"/>
              </w:rPr>
              <w:t>Evaluación de la Unidad 4 — Derechos y responsabilidades</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4.</w:t>
            </w:r>
          </w:p>
        </w:tc>
      </w:tr>
      <w:tr>
        <w:trPr>
          <w:cantSplit/>
        </w:trPr>
        <w:tc>
          <w:tcPr>
            <w:tcW w:type="dxa" w:w="624"/>
          </w:tcPr>
          <w:p>
            <w:pPr>
              <w:jc w:val="center"/>
            </w:pPr>
            <w:r>
              <w:rPr>
                <w:rFonts w:ascii="Arial" w:hAnsi="Arial"/>
                <w:b/>
                <w:sz w:val="17"/>
              </w:rPr>
              <w:t>18</w:t>
            </w:r>
          </w:p>
        </w:tc>
        <w:tc>
          <w:tcPr>
            <w:tcW w:type="dxa" w:w="2948"/>
          </w:tcPr>
          <w:p>
            <w:r>
              <w:rPr>
                <w:rFonts w:ascii="Arial" w:hAnsi="Arial"/>
                <w:b w:val="0"/>
                <w:sz w:val="17"/>
              </w:rPr>
              <w:t>Evaluación integradora de la 1.ª etapa (Unidades 1 a 4)</w:t>
            </w:r>
          </w:p>
        </w:tc>
        <w:tc>
          <w:tcPr>
            <w:tcW w:type="dxa" w:w="4082"/>
          </w:tcPr>
          <w:p>
            <w:r>
              <w:rPr>
                <w:rFonts w:ascii="Arial" w:hAnsi="Arial"/>
                <w:b w:val="0"/>
                <w:sz w:val="17"/>
              </w:rPr>
              <w:t>• Integra los indicadores de las unidades de la etapa.</w:t>
              <w:br/>
              <w:t>• Aplica conceptos y procedimientos a situaciones nuevas.</w:t>
              <w:br/>
              <w:t>• Identifica logros y necesidades de refuerzo.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75 min: prueba individual. 25 min: revisión general y orientación de refuerzo/recuperación.</w:t>
            </w:r>
          </w:p>
        </w:tc>
        <w:tc>
          <w:tcPr>
            <w:tcW w:type="dxa" w:w="2494"/>
          </w:tcPr>
          <w:p>
            <w:r>
              <w:rPr>
                <w:rFonts w:ascii="Arial" w:hAnsi="Arial"/>
                <w:b w:val="0"/>
                <w:sz w:val="17"/>
              </w:rPr>
              <w:t>Prueba integradora fotocopiable; pauta del Solucionario; registro de recuperación.</w:t>
            </w:r>
          </w:p>
        </w:tc>
        <w:tc>
          <w:tcPr>
            <w:tcW w:type="dxa" w:w="1701"/>
          </w:tcPr>
          <w:p>
            <w:r>
              <w:rPr>
                <w:rFonts w:ascii="Arial" w:hAnsi="Arial"/>
                <w:b w:val="0"/>
                <w:sz w:val="17"/>
              </w:rPr>
              <w:t>Cierre de la 1.ª etapa · junio.</w:t>
            </w:r>
          </w:p>
        </w:tc>
      </w:tr>
      <w:tr>
        <w:trPr>
          <w:cantSplit/>
        </w:trPr>
        <w:tc>
          <w:tcPr>
            <w:tcW w:type="dxa" w:w="15988"/>
            <w:gridSpan w:val="7"/>
            <w:shd w:val="clear" w:fill="1B4F72"/>
          </w:tcPr>
          <w:p>
            <w:r>
              <w:rPr>
                <w:rFonts w:ascii="Arial" w:hAnsi="Arial"/>
                <w:b/>
                <w:color w:val="FFFFFF"/>
                <w:sz w:val="18"/>
              </w:rPr>
              <w:t>SEGUNDA ETAPA · Agosto – noviembre · 18 encuentros / 54 HC</w:t>
            </w:r>
          </w:p>
        </w:tc>
      </w:tr>
      <w:tr>
        <w:trPr>
          <w:cantSplit/>
        </w:trPr>
        <w:tc>
          <w:tcPr>
            <w:tcW w:type="dxa" w:w="15988"/>
            <w:gridSpan w:val="7"/>
            <w:shd w:val="clear" w:fill="6A3E7A"/>
          </w:tcPr>
          <w:p>
            <w:r>
              <w:rPr>
                <w:rFonts w:ascii="Arial" w:hAnsi="Arial"/>
                <w:b/>
                <w:color w:val="FFFFFF"/>
                <w:sz w:val="18"/>
              </w:rPr>
              <w:t>UNIDAD 5 — ORGANIZACIONES ESTUDIANTILES</w:t>
              <w:br/>
              <w:t>Capacidades: Reconoce la importancia de las organizaciones estudiantiles; aplica procedimientos democráticos y participa en clubes según sus intereses.</w:t>
              <w:br/>
              <w:t>Período aproximado: Agosto – septiembre</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19</w:t>
            </w:r>
          </w:p>
        </w:tc>
        <w:tc>
          <w:tcPr>
            <w:tcW w:type="dxa" w:w="2948"/>
          </w:tcPr>
          <w:p>
            <w:r>
              <w:rPr>
                <w:rFonts w:ascii="Arial" w:hAnsi="Arial"/>
                <w:b w:val="0"/>
                <w:sz w:val="17"/>
              </w:rPr>
              <w:t>El centro de estudiantes: definición, objetivos, importancia y marco legal en Paraguay</w:t>
            </w:r>
          </w:p>
        </w:tc>
        <w:tc>
          <w:tcPr>
            <w:tcW w:type="dxa" w:w="4082"/>
          </w:tcPr>
          <w:p>
            <w:r>
              <w:rPr>
                <w:rFonts w:ascii="Arial" w:hAnsi="Arial"/>
                <w:b w:val="0"/>
                <w:sz w:val="17"/>
              </w:rPr>
              <w:t>• Explica qué es un centro de estudiantes y cuáles son sus objetivos. • Identifica el marco legal paraguayo que respalda la organización estudiantil. • Distingue la estructura básica de un centro de estudiantes y la función de cada cargo.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del organigrama de la Figura 14.1; análisis del marco legal con la técnica de las «tres patas»; construcción y votación de objetivos en la dinámica «El centro que queremos».</w:t>
            </w:r>
          </w:p>
        </w:tc>
        <w:tc>
          <w:tcPr>
            <w:tcW w:type="dxa" w:w="2494"/>
          </w:tcPr>
          <w:p>
            <w:r>
              <w:rPr>
                <w:rFonts w:ascii="Arial" w:hAnsi="Arial"/>
                <w:b w:val="0"/>
                <w:sz w:val="17"/>
              </w:rPr>
              <w:t>Lista de cotejo de los objetivos grupales (concretos, medibles, realistas); ejercitario de la clase.</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20</w:t>
            </w:r>
          </w:p>
        </w:tc>
        <w:tc>
          <w:tcPr>
            <w:tcW w:type="dxa" w:w="2948"/>
            <w:vAlign w:val="center"/>
          </w:tcPr>
          <w:p>
            <w:pPr>
              <w:spacing w:after="0" w:before="0"/>
            </w:pPr>
            <w:r>
              <w:rPr>
                <w:rFonts w:ascii="Calibri" w:hAnsi="Calibri"/>
                <w:sz w:val="17"/>
              </w:rPr>
              <w:t>Taller PEC A — Mirar antes de actuar. Diagnóstico participativo de necesidades. Vinculado a la unidad de Orientación correspondiente.</w:t>
            </w:r>
          </w:p>
        </w:tc>
        <w:tc>
          <w:tcPr>
            <w:tcW w:type="dxa" w:w="4082"/>
            <w:vAlign w:val="center"/>
          </w:tcPr>
          <w:p>
            <w:pPr>
              <w:spacing w:after="0" w:before="0"/>
            </w:pPr>
            <w:r>
              <w:rPr>
                <w:rFonts w:ascii="Calibri" w:hAnsi="Calibri"/>
                <w:sz w:val="16"/>
              </w:rPr>
              <w:t>• Identifica necesidades con hechos comprobables y lenguaje respetuoso, sin datos personales.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A del tomo. Elaboración guiada de Ficha 1.</w:t>
            </w:r>
          </w:p>
        </w:tc>
        <w:tc>
          <w:tcPr>
            <w:tcW w:type="dxa" w:w="2494"/>
            <w:vAlign w:val="center"/>
          </w:tcPr>
          <w:p>
            <w:pPr>
              <w:spacing w:after="0" w:before="0"/>
            </w:pPr>
            <w:r>
              <w:rPr>
                <w:rFonts w:ascii="Calibri" w:hAnsi="Calibri"/>
                <w:sz w:val="16"/>
              </w:rPr>
              <w:t>Ficha PEC 1: diagnóstico, fuentes autorizadas y evidencias sin identificación de menores.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21</w:t>
            </w:r>
          </w:p>
        </w:tc>
        <w:tc>
          <w:tcPr>
            <w:tcW w:type="dxa" w:w="2948"/>
          </w:tcPr>
          <w:p>
            <w:r>
              <w:rPr>
                <w:rFonts w:ascii="Arial" w:hAnsi="Arial"/>
                <w:b w:val="0"/>
                <w:sz w:val="17"/>
              </w:rPr>
              <w:t>Procedimiento de conformación del centro de estudiantes; elecciones estudiantiles; perfil del líder democrático</w:t>
            </w:r>
          </w:p>
        </w:tc>
        <w:tc>
          <w:tcPr>
            <w:tcW w:type="dxa" w:w="4082"/>
          </w:tcPr>
          <w:p>
            <w:r>
              <w:rPr>
                <w:rFonts w:ascii="Arial" w:hAnsi="Arial"/>
                <w:b w:val="0"/>
                <w:sz w:val="17"/>
              </w:rPr>
              <w:t>• Explica que el estatuto define el procedimiento concreto de conformación y elección.</w:t>
              <w:br/>
              <w:t>• Ordena una simulación democrática a partir de un estatuto o reglamento dado.</w:t>
              <w:br/>
              <w:t>• Diferencia estilos de liderazgo y evalúa propuestas con criterios de viabilidad.</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Lectura comparada de estatuto y secuencia electoral; identificación del órgano electoral y reglas; evaluación de propuestas; simulación basada en normas dadas.</w:t>
            </w:r>
          </w:p>
        </w:tc>
        <w:tc>
          <w:tcPr>
            <w:tcW w:type="dxa" w:w="2494"/>
          </w:tcPr>
          <w:p>
            <w:r>
              <w:rPr>
                <w:rFonts w:ascii="Arial" w:hAnsi="Arial"/>
                <w:b w:val="0"/>
                <w:sz w:val="17"/>
              </w:rPr>
              <w:t>Lista de cotejo de lectura del estatuto; acta del simulacro;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22</w:t>
            </w:r>
          </w:p>
        </w:tc>
        <w:tc>
          <w:tcPr>
            <w:tcW w:type="dxa" w:w="2948"/>
            <w:vAlign w:val="center"/>
          </w:tcPr>
          <w:p>
            <w:pPr>
              <w:spacing w:after="0" w:before="0"/>
            </w:pPr>
            <w:r>
              <w:rPr>
                <w:rFonts w:ascii="Calibri" w:hAnsi="Calibri"/>
                <w:sz w:val="17"/>
              </w:rPr>
              <w:t>Taller PEC B — Elegir con razones. Priorización y fundamentación del problema. Vinculado a la unidad de Orientación correspondiente.</w:t>
            </w:r>
          </w:p>
        </w:tc>
        <w:tc>
          <w:tcPr>
            <w:tcW w:type="dxa" w:w="4082"/>
            <w:vAlign w:val="center"/>
          </w:tcPr>
          <w:p>
            <w:pPr>
              <w:spacing w:after="0" w:before="0"/>
            </w:pPr>
            <w:r>
              <w:rPr>
                <w:rFonts w:ascii="Calibri" w:hAnsi="Calibri"/>
                <w:sz w:val="16"/>
              </w:rPr>
              <w:t>• Compara tres alternativas mediante importancia, viabilidad y seguridad; argumenta la elección.</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B del tomo. Elaboración guiada de Ficha 2.</w:t>
            </w:r>
          </w:p>
        </w:tc>
        <w:tc>
          <w:tcPr>
            <w:tcW w:type="dxa" w:w="2494"/>
            <w:vAlign w:val="center"/>
          </w:tcPr>
          <w:p>
            <w:pPr>
              <w:spacing w:after="0" w:before="0"/>
            </w:pPr>
            <w:r>
              <w:rPr>
                <w:rFonts w:ascii="Calibri" w:hAnsi="Calibri"/>
                <w:sz w:val="16"/>
              </w:rPr>
              <w:t>Ficha PEC 2: matriz de prioridades y fundamentación de la decisión del equipo.</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23</w:t>
            </w:r>
          </w:p>
        </w:tc>
        <w:tc>
          <w:tcPr>
            <w:tcW w:type="dxa" w:w="2948"/>
          </w:tcPr>
          <w:p>
            <w:r>
              <w:rPr>
                <w:rFonts w:ascii="Arial" w:hAnsi="Arial"/>
                <w:b w:val="0"/>
                <w:sz w:val="17"/>
              </w:rPr>
              <w:t>Clubes escolares: tipos, organización, funcionamiento y aporte a la vida institucional</w:t>
            </w:r>
          </w:p>
        </w:tc>
        <w:tc>
          <w:tcPr>
            <w:tcW w:type="dxa" w:w="4082"/>
          </w:tcPr>
          <w:p>
            <w:r>
              <w:rPr>
                <w:rFonts w:ascii="Arial" w:hAnsi="Arial"/>
                <w:b w:val="0"/>
                <w:sz w:val="17"/>
              </w:rPr>
              <w:t>• Identifica tipos de clubes escolares y su aporte a la institución. • Describe los pasos básicos para organizar un club. • Elige un club acorde a sus intereses y define su posible aporte personal.</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Análisis de tipos de clubes con la tabla; diseño de clubes en la dinámica «Feria de clubes»; conexión con el mapa de intereses de la Unidad 2.</w:t>
            </w:r>
          </w:p>
        </w:tc>
        <w:tc>
          <w:tcPr>
            <w:tcW w:type="dxa" w:w="2494"/>
          </w:tcPr>
          <w:p>
            <w:r>
              <w:rPr>
                <w:rFonts w:ascii="Arial" w:hAnsi="Arial"/>
                <w:b w:val="0"/>
                <w:sz w:val="17"/>
              </w:rPr>
              <w:t>Rúbrica del stand (propósito, actividades, viabilidad); ejercitario de la clase.</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24</w:t>
            </w:r>
          </w:p>
        </w:tc>
        <w:tc>
          <w:tcPr>
            <w:tcW w:type="dxa" w:w="2948"/>
            <w:vAlign w:val="center"/>
          </w:tcPr>
          <w:p>
            <w:pPr>
              <w:spacing w:after="0" w:before="0"/>
            </w:pPr>
            <w:r>
              <w:rPr>
                <w:rFonts w:ascii="Calibri" w:hAnsi="Calibri"/>
                <w:sz w:val="17"/>
              </w:rPr>
              <w:t>Taller PEC C — Pasar de la idea al plan. Objetivos, beneficiarios y productos. Vinculado a la unidad de Orientación correspondiente.</w:t>
            </w:r>
          </w:p>
        </w:tc>
        <w:tc>
          <w:tcPr>
            <w:tcW w:type="dxa" w:w="4082"/>
            <w:vAlign w:val="center"/>
          </w:tcPr>
          <w:p>
            <w:pPr>
              <w:spacing w:after="0" w:before="0"/>
            </w:pPr>
            <w:r>
              <w:rPr>
                <w:rFonts w:ascii="Calibri" w:hAnsi="Calibri"/>
                <w:sz w:val="16"/>
              </w:rPr>
              <w:t>• Redacta un objetivo general y dos específicos; define beneficiarios y productos verificables.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C del tomo. Elaboración guiada de Ficha 3.</w:t>
            </w:r>
          </w:p>
        </w:tc>
        <w:tc>
          <w:tcPr>
            <w:tcW w:type="dxa" w:w="2494"/>
            <w:vAlign w:val="center"/>
          </w:tcPr>
          <w:p>
            <w:pPr>
              <w:spacing w:after="0" w:before="0"/>
            </w:pPr>
            <w:r>
              <w:rPr>
                <w:rFonts w:ascii="Calibri" w:hAnsi="Calibri"/>
                <w:sz w:val="16"/>
              </w:rPr>
              <w:t>Ficha PEC 3: objetivos, beneficiarios sin listados nominales y productos esperados.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25</w:t>
            </w:r>
          </w:p>
        </w:tc>
        <w:tc>
          <w:tcPr>
            <w:tcW w:type="dxa" w:w="2948"/>
          </w:tcPr>
          <w:p>
            <w:r>
              <w:rPr>
                <w:rFonts w:ascii="Arial" w:hAnsi="Arial"/>
                <w:b w:val="0"/>
                <w:sz w:val="17"/>
              </w:rPr>
              <w:t>Evaluación de la Unidad 5 — Organizaciones estudiantiles</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5.</w:t>
            </w:r>
          </w:p>
        </w:tc>
      </w:tr>
      <w:tr>
        <w:trPr>
          <w:cantSplit/>
        </w:trPr>
        <w:tc>
          <w:tcPr>
            <w:tcW w:type="dxa" w:w="15988"/>
            <w:gridSpan w:val="7"/>
            <w:shd w:val="clear" w:fill="6A3E7A"/>
          </w:tcPr>
          <w:p>
            <w:r>
              <w:rPr>
                <w:rFonts w:ascii="Arial" w:hAnsi="Arial"/>
                <w:b/>
                <w:color w:val="FFFFFF"/>
                <w:sz w:val="18"/>
              </w:rPr>
              <w:t>UNIDAD 6 — ORGANIZACIÓN Y PLANIFICACIÓN</w:t>
              <w:br/>
              <w:t>Capacidades: Comprende responsabilidades del proceso de enseñanza-aprendizaje; planifica su tiempo y su estudio con equilibrio.</w:t>
              <w:br/>
              <w:t>Período aproximado: Septiembre – octubre</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26</w:t>
            </w:r>
          </w:p>
        </w:tc>
        <w:tc>
          <w:tcPr>
            <w:tcW w:type="dxa" w:w="2948"/>
          </w:tcPr>
          <w:p>
            <w:r>
              <w:rPr>
                <w:rFonts w:ascii="Arial" w:hAnsi="Arial"/>
                <w:b w:val="0"/>
                <w:sz w:val="17"/>
              </w:rPr>
              <w:t>El proceso de enseñanza-aprendizaje: actores, responsabilidades y condiciones que favorecen el aprender</w:t>
            </w:r>
          </w:p>
        </w:tc>
        <w:tc>
          <w:tcPr>
            <w:tcW w:type="dxa" w:w="4082"/>
          </w:tcPr>
          <w:p>
            <w:r>
              <w:rPr>
                <w:rFonts w:ascii="Arial" w:hAnsi="Arial"/>
                <w:b w:val="0"/>
                <w:sz w:val="17"/>
              </w:rPr>
              <w:t>• Identifica a los actores del proceso de enseñanza-aprendizaje y sus responsabilidades. • Explica qué condiciones favorecen u obstaculizan su propio aprendizaje. • Asume compromisos concretos como protagonista de su aprendizaje.</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Debate inicial sobre el caso de la prueba floja; análisis de la tabla de actores; construcción grupal de «La máquina de aprender»; firma del contrato personal.</w:t>
            </w:r>
          </w:p>
        </w:tc>
        <w:tc>
          <w:tcPr>
            <w:tcW w:type="dxa" w:w="2494"/>
          </w:tcPr>
          <w:p>
            <w:r>
              <w:rPr>
                <w:rFonts w:ascii="Arial" w:hAnsi="Arial"/>
                <w:b w:val="0"/>
                <w:sz w:val="17"/>
              </w:rPr>
              <w:t>Producción grupal (máquina) con lista de cotejo; contrato personal como registro de compromiso;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27</w:t>
            </w:r>
          </w:p>
        </w:tc>
        <w:tc>
          <w:tcPr>
            <w:tcW w:type="dxa" w:w="2948"/>
            <w:vAlign w:val="center"/>
          </w:tcPr>
          <w:p>
            <w:pPr>
              <w:spacing w:after="0" w:before="0"/>
            </w:pPr>
            <w:r>
              <w:rPr>
                <w:rFonts w:ascii="Calibri" w:hAnsi="Calibri"/>
                <w:sz w:val="17"/>
              </w:rPr>
              <w:t>Taller PEC D — Organizar para cumplir. Cronograma, roles, recursos y autorizaciones. Vinculado a la unidad de Orientación correspondiente.</w:t>
            </w:r>
          </w:p>
        </w:tc>
        <w:tc>
          <w:tcPr>
            <w:tcW w:type="dxa" w:w="4082"/>
            <w:vAlign w:val="center"/>
          </w:tcPr>
          <w:p>
            <w:pPr>
              <w:spacing w:after="0" w:before="0"/>
            </w:pPr>
            <w:r>
              <w:rPr>
                <w:rFonts w:ascii="Calibri" w:hAnsi="Calibri"/>
                <w:sz w:val="16"/>
              </w:rPr>
              <w:t>• Organiza acciones en cronograma, asigna responsabilidades y prevé permisos y recursos de costo cero.</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D del tomo. Elaboración guiada de Ficha 4.</w:t>
            </w:r>
          </w:p>
        </w:tc>
        <w:tc>
          <w:tcPr>
            <w:tcW w:type="dxa" w:w="2494"/>
            <w:vAlign w:val="center"/>
          </w:tcPr>
          <w:p>
            <w:pPr>
              <w:spacing w:after="0" w:before="0"/>
            </w:pPr>
            <w:r>
              <w:rPr>
                <w:rFonts w:ascii="Calibri" w:hAnsi="Calibri"/>
                <w:sz w:val="16"/>
              </w:rPr>
              <w:t>Ficha PEC 4: cronograma, responsables, recursos, aliados y permisos.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28</w:t>
            </w:r>
          </w:p>
        </w:tc>
        <w:tc>
          <w:tcPr>
            <w:tcW w:type="dxa" w:w="2948"/>
          </w:tcPr>
          <w:p>
            <w:r>
              <w:rPr>
                <w:rFonts w:ascii="Arial" w:hAnsi="Arial"/>
                <w:b w:val="0"/>
                <w:sz w:val="17"/>
              </w:rPr>
              <w:t>Organización del tiempo: diagnóstico de las 24 horas, ladrones de tiempo y horario personal equilibrado</w:t>
            </w:r>
          </w:p>
        </w:tc>
        <w:tc>
          <w:tcPr>
            <w:tcW w:type="dxa" w:w="4082"/>
          </w:tcPr>
          <w:p>
            <w:r>
              <w:rPr>
                <w:rFonts w:ascii="Arial" w:hAnsi="Arial"/>
                <w:b w:val="0"/>
                <w:sz w:val="17"/>
              </w:rPr>
              <w:t>• Elabora el diagnóstico de su distribución real del tiempo en un día típico. • Identifica sus principales «ladrones de tiempo» y propone ajustes realistas. • Diseña un horario semanal equilibrado entre responsabilidades y recreación.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Diagnóstico de las 24 horas sobre la Figura 18.1 y la torta personal; identificación de ladrones de tiempo; intercambio de ajustes en «El banco del tiempo».</w:t>
            </w:r>
          </w:p>
        </w:tc>
        <w:tc>
          <w:tcPr>
            <w:tcW w:type="dxa" w:w="2494"/>
          </w:tcPr>
          <w:p>
            <w:r>
              <w:rPr>
                <w:rFonts w:ascii="Arial" w:hAnsi="Arial"/>
                <w:b w:val="0"/>
                <w:sz w:val="17"/>
              </w:rPr>
              <w:t>Torta personal de 24 horas (control de suma); compromiso escrito de ajuste;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29</w:t>
            </w:r>
          </w:p>
        </w:tc>
        <w:tc>
          <w:tcPr>
            <w:tcW w:type="dxa" w:w="2948"/>
          </w:tcPr>
          <w:p>
            <w:r>
              <w:rPr>
                <w:rFonts w:ascii="Arial" w:hAnsi="Arial"/>
                <w:b w:val="0"/>
                <w:sz w:val="17"/>
              </w:rPr>
              <w:t>El plan personal de estudio: metas, sesiones eficaces y beneficios de la buena planificación</w:t>
            </w:r>
          </w:p>
        </w:tc>
        <w:tc>
          <w:tcPr>
            <w:tcW w:type="dxa" w:w="4082"/>
          </w:tcPr>
          <w:p>
            <w:r>
              <w:rPr>
                <w:rFonts w:ascii="Arial" w:hAnsi="Arial"/>
                <w:b w:val="0"/>
                <w:sz w:val="17"/>
              </w:rPr>
              <w:t>• Formula metas de estudio concretas y alcanzables por materia. • Diseña sesiones de estudio eficaces (bloques, pausas, sin distracciones). • Explica los beneficios comprobados de estudiar planificado frente a estudiar «a último momento».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Análisis comparativo del caso Araceli/Santi; auditoría de métodos con la tabla de prácticas; elaboración del plan personal para el cierre de etapa.</w:t>
            </w:r>
          </w:p>
        </w:tc>
        <w:tc>
          <w:tcPr>
            <w:tcW w:type="dxa" w:w="2494"/>
          </w:tcPr>
          <w:p>
            <w:r>
              <w:rPr>
                <w:rFonts w:ascii="Arial" w:hAnsi="Arial"/>
                <w:b w:val="0"/>
                <w:sz w:val="17"/>
              </w:rPr>
              <w:t>Plan personal de estudio (revisión con lista de cotejo); ejercitario de la clase.</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30</w:t>
            </w:r>
          </w:p>
        </w:tc>
        <w:tc>
          <w:tcPr>
            <w:tcW w:type="dxa" w:w="2948"/>
            <w:vAlign w:val="center"/>
          </w:tcPr>
          <w:p>
            <w:pPr>
              <w:spacing w:after="0" w:before="0"/>
            </w:pPr>
            <w:r>
              <w:rPr>
                <w:rFonts w:ascii="Calibri" w:hAnsi="Calibri"/>
                <w:sz w:val="17"/>
              </w:rPr>
              <w:t>Taller PEC E — Actuar y registrar. Ejecución segura y bitácora. Vinculado a la unidad de Orientación correspondiente.</w:t>
            </w:r>
          </w:p>
        </w:tc>
        <w:tc>
          <w:tcPr>
            <w:tcW w:type="dxa" w:w="4082"/>
            <w:vAlign w:val="center"/>
          </w:tcPr>
          <w:p>
            <w:pPr>
              <w:spacing w:after="0" w:before="0"/>
            </w:pPr>
            <w:r>
              <w:rPr>
                <w:rFonts w:ascii="Calibri" w:hAnsi="Calibri"/>
                <w:sz w:val="16"/>
              </w:rPr>
              <w:t>• Participa en una actividad autorizada o simulada y documenta su realización sin difundir datos privados.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E del tomo. Elaboración guiada de Ficha 5.</w:t>
            </w:r>
          </w:p>
        </w:tc>
        <w:tc>
          <w:tcPr>
            <w:tcW w:type="dxa" w:w="2494"/>
            <w:vAlign w:val="center"/>
          </w:tcPr>
          <w:p>
            <w:pPr>
              <w:spacing w:after="0" w:before="0"/>
            </w:pPr>
            <w:r>
              <w:rPr>
                <w:rFonts w:ascii="Calibri" w:hAnsi="Calibri"/>
                <w:sz w:val="16"/>
              </w:rPr>
              <w:t>Ficha PEC 5: bitácora de ejecución, cambios y evidencias anónimas.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31</w:t>
            </w:r>
          </w:p>
        </w:tc>
        <w:tc>
          <w:tcPr>
            <w:tcW w:type="dxa" w:w="2948"/>
          </w:tcPr>
          <w:p>
            <w:r>
              <w:rPr>
                <w:rFonts w:ascii="Arial" w:hAnsi="Arial"/>
                <w:b w:val="0"/>
                <w:sz w:val="17"/>
              </w:rPr>
              <w:t>Evaluación de la Unidad 6 — Organización y planificación</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6.</w:t>
            </w:r>
          </w:p>
        </w:tc>
      </w:tr>
      <w:tr>
        <w:trPr>
          <w:cantSplit/>
        </w:trPr>
        <w:tc>
          <w:tcPr>
            <w:tcW w:type="dxa" w:w="15988"/>
            <w:gridSpan w:val="7"/>
            <w:shd w:val="clear" w:fill="6A3E7A"/>
          </w:tcPr>
          <w:p>
            <w:r>
              <w:rPr>
                <w:rFonts w:ascii="Arial" w:hAnsi="Arial"/>
                <w:b/>
                <w:color w:val="FFFFFF"/>
                <w:sz w:val="18"/>
              </w:rPr>
              <w:t>UNIDAD 7 — GESTIÓN DE RIESGO</w:t>
              <w:br/>
              <w:t>Capacidades: Practica medidas de prevención y mitigación de riesgo; elabora proyectos de prevención aplicando sus pasos.</w:t>
              <w:br/>
              <w:t>Período aproximado: Octubre – noviembre</w:t>
            </w:r>
          </w:p>
          <w:p>
            <w:r>
              <w:rPr>
                <w:rFonts w:ascii="Arial" w:hAnsi="Arial"/>
                <w:b/>
                <w:color w:val="FFFFFF"/>
                <w:sz w:val="18"/>
              </w:rPr>
            </w:r>
          </w:p>
          <w:p>
            <w:r>
              <w:rPr>
                <w:rFonts w:ascii="Arial" w:hAnsi="Arial"/>
                <w:b/>
                <w:color w:val="FFFFFF"/>
                <w:sz w:val="18"/>
              </w:rPr>
            </w:r>
          </w:p>
        </w:tc>
      </w:tr>
      <w:tr>
        <w:trPr>
          <w:cantSplit/>
        </w:trPr>
        <w:tc>
          <w:tcPr>
            <w:tcW w:type="dxa" w:w="624"/>
          </w:tcPr>
          <w:p>
            <w:pPr>
              <w:jc w:val="center"/>
            </w:pPr>
            <w:r>
              <w:rPr>
                <w:rFonts w:ascii="Arial" w:hAnsi="Arial"/>
                <w:b/>
                <w:sz w:val="17"/>
              </w:rPr>
              <w:t>32</w:t>
            </w:r>
          </w:p>
        </w:tc>
        <w:tc>
          <w:tcPr>
            <w:tcW w:type="dxa" w:w="2948"/>
          </w:tcPr>
          <w:p>
            <w:r>
              <w:rPr>
                <w:rFonts w:ascii="Arial" w:hAnsi="Arial"/>
                <w:b w:val="0"/>
                <w:sz w:val="17"/>
              </w:rPr>
              <w:t>Gestión de riesgo: conceptos (amenaza, vulnerabilidad, riesgo); prevención y mitigación en la escuela y el hogar; respuesta ante emergencias</w:t>
            </w:r>
          </w:p>
        </w:tc>
        <w:tc>
          <w:tcPr>
            <w:tcW w:type="dxa" w:w="4082"/>
          </w:tcPr>
          <w:p>
            <w:r>
              <w:rPr>
                <w:rFonts w:ascii="Arial" w:hAnsi="Arial"/>
                <w:b w:val="0"/>
                <w:sz w:val="17"/>
              </w:rPr>
              <w:t>• Diferencia amenaza, vulnerabilidad y riesgo.</w:t>
              <w:br/>
              <w:t>• Identifica prevención y mitigación sin exponerse ni intervenir sobre instalaciones peligrosas.</w:t>
              <w:br/>
              <w:t>• Describe la respuesta ante emergencias respetando límites de actuación estudiantil.</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Análisis de casos; recorrido autorizado por sectores habilitados con observación a distancia; clasificación de acciones estudiante/adulto/técnico; práctica de secuencia de aviso y evacuación.</w:t>
            </w:r>
          </w:p>
        </w:tc>
        <w:tc>
          <w:tcPr>
            <w:tcW w:type="dxa" w:w="2494"/>
          </w:tcPr>
          <w:p>
            <w:r>
              <w:rPr>
                <w:rFonts w:ascii="Arial" w:hAnsi="Arial"/>
                <w:b w:val="0"/>
                <w:sz w:val="17"/>
              </w:rPr>
              <w:t>Informe de inspección segura; lista de cotejo;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33</w:t>
            </w:r>
          </w:p>
        </w:tc>
        <w:tc>
          <w:tcPr>
            <w:tcW w:type="dxa" w:w="2948"/>
            <w:vAlign w:val="center"/>
          </w:tcPr>
          <w:p>
            <w:pPr>
              <w:spacing w:after="0" w:before="0"/>
            </w:pPr>
            <w:r>
              <w:rPr>
                <w:rFonts w:ascii="Calibri" w:hAnsi="Calibri"/>
                <w:sz w:val="17"/>
              </w:rPr>
              <w:t>Taller PEC F — Aprender de los resultados. Evaluación, informe y devolución. Vinculado a la unidad de Orientación correspondiente.</w:t>
            </w:r>
          </w:p>
        </w:tc>
        <w:tc>
          <w:tcPr>
            <w:tcW w:type="dxa" w:w="4082"/>
            <w:vAlign w:val="center"/>
          </w:tcPr>
          <w:p>
            <w:pPr>
              <w:spacing w:after="0" w:before="0"/>
            </w:pPr>
            <w:r>
              <w:rPr>
                <w:rFonts w:ascii="Calibri" w:hAnsi="Calibri"/>
                <w:sz w:val="16"/>
              </w:rPr>
              <w:t>• Contrasta objetivos y productos con evidencias, informa límites y formula una mejora realista.</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F del tomo. Elaboración guiada de Ficha 6.</w:t>
            </w:r>
          </w:p>
        </w:tc>
        <w:tc>
          <w:tcPr>
            <w:tcW w:type="dxa" w:w="2494"/>
            <w:vAlign w:val="center"/>
          </w:tcPr>
          <w:p>
            <w:pPr>
              <w:spacing w:after="0" w:before="0"/>
            </w:pPr>
            <w:r>
              <w:rPr>
                <w:rFonts w:ascii="Calibri" w:hAnsi="Calibri"/>
                <w:sz w:val="16"/>
              </w:rPr>
              <w:t>Ficha PEC 6: informe, autoevaluación y rúbrica formativa del proyecto.</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34</w:t>
            </w:r>
          </w:p>
        </w:tc>
        <w:tc>
          <w:tcPr>
            <w:tcW w:type="dxa" w:w="2948"/>
          </w:tcPr>
          <w:p>
            <w:r>
              <w:rPr>
                <w:rFonts w:ascii="Arial" w:hAnsi="Arial"/>
                <w:b w:val="0"/>
                <w:sz w:val="17"/>
              </w:rPr>
              <w:t>Elaboración del proyecto de prevención de riesgos: del diagnóstico a la evaluación</w:t>
            </w:r>
          </w:p>
        </w:tc>
        <w:tc>
          <w:tcPr>
            <w:tcW w:type="dxa" w:w="4082"/>
          </w:tcPr>
          <w:p>
            <w:r>
              <w:rPr>
                <w:rFonts w:ascii="Arial" w:hAnsi="Arial"/>
                <w:b w:val="0"/>
                <w:sz w:val="17"/>
              </w:rPr>
              <w:t>• Elabora en equipo un proyecto de prevención con sus cinco partes completas. • Utiliza el informe de inspección como diagnóstico del proyecto. • Define indicadores sencillos para evaluar los resultados del proyecto.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Elaboración del proyecto de prevención en equipos con la plantilla de cinco partes; presentación final ante el grado; ronda de cierre del año.</w:t>
            </w:r>
          </w:p>
        </w:tc>
        <w:tc>
          <w:tcPr>
            <w:tcW w:type="dxa" w:w="2494"/>
          </w:tcPr>
          <w:p>
            <w:r>
              <w:rPr>
                <w:rFonts w:ascii="Arial" w:hAnsi="Arial"/>
                <w:b w:val="0"/>
                <w:sz w:val="17"/>
              </w:rPr>
              <w:t>Rúbrica del proyecto final (cinco partes, viabilidad, indicador); presentación oral con lista de cotejo.</w:t>
            </w:r>
          </w:p>
        </w:tc>
        <w:tc>
          <w:tcPr>
            <w:tcW w:type="dxa" w:w="1701"/>
          </w:tcPr>
          <w:p>
            <w:r>
              <w:rPr>
                <w:rFonts w:ascii="Arial" w:hAnsi="Arial"/>
                <w:b w:val="0"/>
                <w:sz w:val="17"/>
              </w:rPr>
              <w:t>Preparación/cierre de contenidos; la evaluación de la unidad se realiza en el encuentro siguiente.</w:t>
            </w:r>
          </w:p>
        </w:tc>
      </w:tr>
      <w:tr>
        <w:trPr>
          <w:cantSplit/>
        </w:trPr>
        <w:tc>
          <w:tcPr>
            <w:tcW w:type="dxa" w:w="624"/>
          </w:tcPr>
          <w:p>
            <w:pPr>
              <w:jc w:val="center"/>
            </w:pPr>
            <w:r>
              <w:rPr>
                <w:rFonts w:ascii="Arial" w:hAnsi="Arial"/>
                <w:b/>
                <w:sz w:val="17"/>
              </w:rPr>
              <w:t>35</w:t>
            </w:r>
          </w:p>
        </w:tc>
        <w:tc>
          <w:tcPr>
            <w:tcW w:type="dxa" w:w="2948"/>
          </w:tcPr>
          <w:p>
            <w:r>
              <w:rPr>
                <w:rFonts w:ascii="Arial" w:hAnsi="Arial"/>
                <w:b w:val="0"/>
                <w:sz w:val="17"/>
              </w:rPr>
              <w:t>Evaluación de la Unidad 7 — Gestión de riesgo</w:t>
            </w:r>
          </w:p>
        </w:tc>
        <w:tc>
          <w:tcPr>
            <w:tcW w:type="dxa" w:w="4082"/>
          </w:tcPr>
          <w:p>
            <w:r>
              <w:rPr>
                <w:rFonts w:ascii="Arial" w:hAnsi="Arial"/>
                <w:b w:val="0"/>
                <w:sz w:val="17"/>
              </w:rPr>
              <w:t>• Integra los indicadores de la unidad en consignas objetivas y de aplicación.</w:t>
              <w:br/>
              <w:t>• Fundamenta respuestas abiertas con conceptos trabajados.</w:t>
              <w:br/>
              <w:t>• Identifica qué debe reforzar a partir de la devolución.</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de consignas. 70 min: resolución individual. 30 min: devolución guiada, autocorrección y registro de refuerzo/recuperación.</w:t>
            </w:r>
          </w:p>
        </w:tc>
        <w:tc>
          <w:tcPr>
            <w:tcW w:type="dxa" w:w="2494"/>
          </w:tcPr>
          <w:p>
            <w:r>
              <w:rPr>
                <w:rFonts w:ascii="Arial" w:hAnsi="Arial"/>
                <w:b w:val="0"/>
                <w:sz w:val="17"/>
              </w:rPr>
              <w:t>Prueba de unidad fotocopiable del Tomo; pauta de corrección del Solucionario; registro breve de recuperación.</w:t>
            </w:r>
          </w:p>
        </w:tc>
        <w:tc>
          <w:tcPr>
            <w:tcW w:type="dxa" w:w="1701"/>
          </w:tcPr>
          <w:p>
            <w:r>
              <w:rPr>
                <w:rFonts w:ascii="Arial" w:hAnsi="Arial"/>
                <w:b w:val="0"/>
                <w:sz w:val="17"/>
              </w:rPr>
              <w:t>Cierre de la Unidad 7.</w:t>
            </w:r>
          </w:p>
        </w:tc>
      </w:tr>
      <w:tr>
        <w:trPr>
          <w:cantSplit/>
        </w:trPr>
        <w:tc>
          <w:tcPr>
            <w:tcW w:type="dxa" w:w="624"/>
          </w:tcPr>
          <w:p>
            <w:pPr>
              <w:jc w:val="center"/>
            </w:pPr>
            <w:r>
              <w:rPr>
                <w:rFonts w:ascii="Arial" w:hAnsi="Arial"/>
                <w:b/>
                <w:sz w:val="17"/>
              </w:rPr>
              <w:t>36</w:t>
            </w:r>
          </w:p>
        </w:tc>
        <w:tc>
          <w:tcPr>
            <w:tcW w:type="dxa" w:w="2948"/>
          </w:tcPr>
          <w:p>
            <w:r>
              <w:rPr>
                <w:rFonts w:ascii="Arial" w:hAnsi="Arial"/>
                <w:b w:val="0"/>
                <w:sz w:val="17"/>
              </w:rPr>
              <w:t>Evaluación integradora de la 2.ª etapa (Unidades 5 a 7)</w:t>
            </w:r>
          </w:p>
        </w:tc>
        <w:tc>
          <w:tcPr>
            <w:tcW w:type="dxa" w:w="4082"/>
          </w:tcPr>
          <w:p>
            <w:r>
              <w:rPr>
                <w:rFonts w:ascii="Arial" w:hAnsi="Arial"/>
                <w:b w:val="0"/>
                <w:sz w:val="17"/>
              </w:rPr>
              <w:t>• Integra los indicadores de las unidades de la etapa.</w:t>
              <w:br/>
              <w:t>• Aplica procedimientos democráticos, de planificación y de gestión de riesgo.</w:t>
              <w:br/>
              <w:t>• Identifica logros y necesidades de refuerzo.</w:t>
            </w:r>
          </w:p>
          <w:p>
            <w:r>
              <w:rPr>
                <w:rFonts w:ascii="Arial" w:hAnsi="Arial"/>
                <w:b w:val="0"/>
                <w:sz w:val="17"/>
              </w:rPr>
            </w:r>
          </w:p>
          <w:p>
            <w:r>
              <w:rPr>
                <w:rFonts w:ascii="Arial" w:hAnsi="Arial"/>
                <w:b w:val="0"/>
                <w:sz w:val="17"/>
              </w:rPr>
            </w:r>
          </w:p>
        </w:tc>
        <w:tc>
          <w:tcPr>
            <w:tcW w:type="dxa" w:w="964"/>
          </w:tcPr>
          <w:p>
            <w:pPr>
              <w:jc w:val="center"/>
            </w:pPr>
            <w:r>
              <w:rPr>
                <w:rFonts w:ascii="Arial" w:hAnsi="Arial"/>
                <w:b w:val="0"/>
                <w:sz w:val="17"/>
              </w:rPr>
              <w:t>3 h</w:t>
            </w:r>
          </w:p>
        </w:tc>
        <w:tc>
          <w:tcPr>
            <w:tcW w:type="dxa" w:w="3175"/>
          </w:tcPr>
          <w:p>
            <w:r>
              <w:rPr>
                <w:rFonts w:ascii="Arial" w:hAnsi="Arial"/>
                <w:b w:val="0"/>
                <w:sz w:val="17"/>
              </w:rPr>
              <w:t>20 min: encuadre y lectura. 70 min: prueba individual. 30 min: devolución general, orientación de recuperación y cierre del proyecto anual.</w:t>
            </w:r>
          </w:p>
        </w:tc>
        <w:tc>
          <w:tcPr>
            <w:tcW w:type="dxa" w:w="2494"/>
          </w:tcPr>
          <w:p>
            <w:r>
              <w:rPr>
                <w:rFonts w:ascii="Arial" w:hAnsi="Arial"/>
                <w:b w:val="0"/>
                <w:sz w:val="17"/>
              </w:rPr>
              <w:t>Prueba integradora fotocopiable; pauta del Solucionario; registro de recuperación.</w:t>
            </w:r>
          </w:p>
        </w:tc>
        <w:tc>
          <w:tcPr>
            <w:tcW w:type="dxa" w:w="1701"/>
          </w:tcPr>
          <w:p>
            <w:r>
              <w:rPr>
                <w:rFonts w:ascii="Arial" w:hAnsi="Arial"/>
                <w:b w:val="0"/>
                <w:sz w:val="17"/>
              </w:rPr>
              <w:t>Cierre de la 2.ª etapa · noviembre.</w:t>
            </w:r>
          </w:p>
        </w:tc>
      </w:tr>
    </w:tbl>
    <w:p/>
    <w:p>
      <w:pPr>
        <w:pStyle w:val="Heading2"/>
      </w:pPr>
      <w:r>
        <w:t>Criterios generales de planificación</w:t>
      </w:r>
    </w:p>
    <w:p>
      <w:r>
        <w:rPr>
          <w:sz w:val="18"/>
        </w:rPr>
        <w:t>• La disciplina tiene carácter eminentemente formativo: se privilegia la valoración de procesos (participación, producciones grupales, compromisos personales) por sobre la memorización.</w:t>
      </w:r>
    </w:p>
    <w:p>
      <w:r>
        <w:rPr>
          <w:sz w:val="18"/>
        </w:rPr>
        <w:t>• Las secciones «Mirate» constituyen un espacio personal del estudiante: no llevan calificación ni se exponen públicamente.</w:t>
      </w:r>
    </w:p>
    <w:p>
      <w:r>
        <w:rPr>
          <w:sz w:val="18"/>
        </w:rPr>
        <w:t>• Las dinámicas «En grupo» se valoran con listas de cotejo y rúbricas breves centradas en la participación, el respeto y la calidad de la producción.</w:t>
      </w:r>
    </w:p>
    <w:p>
      <w:r>
        <w:rPr>
          <w:sz w:val="18"/>
        </w:rPr>
        <w:t>• Las siete evaluaciones de unidad y las dos evaluaciones integradoras de etapa son encuentros reales de 3 HC; se realizan en páginas fotocopiables y reservan tiempo para devolución, corrección y recuperación.</w:t>
      </w:r>
    </w:p>
    <w:p>
      <w:r>
        <w:rPr>
          <w:sz w:val="18"/>
        </w:rPr>
        <w:t>• Los temas sensibles (sexualidad, violencia, adicciones, vulneración de derechos) se abordan con casos ficticios o categorías; no se califican revelaciones personales. Toda revelación sensible activa el protocolo institucional.</w:t>
      </w:r>
    </w:p>
    <w:p>
      <w:r>
        <w:rPr>
          <w:sz w:val="18"/>
        </w:rPr>
        <w:t>• El proyecto de prevención de riesgos (Unidad 7) es la producción integradora de cierre del año y retoma la estructura de proyectos trabajada en la Unidad 1.</w:t>
      </w:r>
    </w:p>
    <w:p>
      <w:pPr>
        <w:pStyle w:val="Heading2"/>
      </w:pPr>
      <w:r>
        <w:t>Estrategias de inclusión</w:t>
      </w:r>
    </w:p>
    <w:p>
      <w:r>
        <w:rPr>
          <w:sz w:val="18"/>
        </w:rPr>
        <w:t>• Consignas orales y escritas disponibles para estudiantes con dificultades de lectoescritura; tiempo adicional en las evaluaciones para quienes lo requieran.</w:t>
      </w:r>
    </w:p>
    <w:p>
      <w:r>
        <w:rPr>
          <w:sz w:val="18"/>
        </w:rPr>
        <w:t>• Conformación heterogénea y rotativa de los equipos, con roles diferenciados que permitan a cada estudiante aportar desde sus fortalezas.</w:t>
      </w:r>
    </w:p>
    <w:p>
      <w:r>
        <w:rPr>
          <w:sz w:val="18"/>
        </w:rPr>
        <w:t>• Uso del castellano y del guaraní según la necesidad comunicativa del grupo, valorando el bilingüismo como fortaleza.</w:t>
      </w:r>
    </w:p>
    <w:p>
      <w:r>
        <w:rPr>
          <w:sz w:val="18"/>
        </w:rPr>
        <w:t>• Adecuación de las dinámicas corporales o expositivas para estudiantes con discapacidad, garantizando su participación en todas las producciones grupales.</w:t>
      </w:r>
    </w:p>
    <w:p/>
    <w:p/>
    <w:p>
      <w:pPr>
        <w:jc w:val="center"/>
      </w:pPr>
      <w:r>
        <w:rPr>
          <w:sz w:val="18"/>
        </w:rPr>
        <w:t>__________________________________</w:t>
        <w:br/>
        <w:t>Firma del docente</w:t>
      </w:r>
    </w:p>
    <w:p>
      <w:pPr>
        <w:pStyle w:val="Heading1"/>
      </w:pPr>
      <w:r>
        <w:rPr>
          <w:color w:val="4B2D69"/>
        </w:rPr>
        <w:t>Articulación curricular y organización del Proyecto Educativo Comunitario</w:t>
      </w:r>
    </w:p>
    <w:p>
      <w:pPr/>
      <w:r>
        <w:rPr>
          <w:sz w:val="19"/>
        </w:rPr>
        <w:t>Desarrollo Personal y Social de 8.º grado comprende Orientación Educacional y Vocacional y Proyecto Educativo Comunitario. Esta propuesta docente integra el PEC en seis de los 36 encuentros anuales previstos, sin agregar otras horas. Las capacidades oficiales de las siete unidades de Orientación se mantienen en los encuentros temáticos; las metas del PEC son indicadores didácticos editoriales que deben adaptarse al proyecto institucional.</w:t>
      </w:r>
    </w:p>
    <w:p>
      <w:pPr/>
      <w:r>
        <w:rPr>
          <w:sz w:val="19"/>
        </w:rPr>
        <w:t>El calendario 36 × 3 HC = 108 HC es una planificación editorial de referencia, no una asignación rígida del MEC de seis jornadas exclusivamente al PEC. La institución puede adecuar la distribución entre componentes según necesidades y PEI/PCI.</w:t>
      </w:r>
    </w:p>
    <w:p>
      <w:pPr/>
      <w:r>
        <w:rPr>
          <w:sz w:val="19"/>
        </w:rPr>
        <w:t>Proyecto modelo del grado: Patio seguro: prevención y convivencia.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046"/>
        <w:gridCol w:w="5046"/>
        <w:gridCol w:w="5046"/>
      </w:tblGrid>
      <w:tr>
        <w:tc>
          <w:tcPr>
            <w:tcW w:type="dxa" w:w="5046"/>
            <w:vAlign w:val="center"/>
          </w:tcPr>
          <w:p>
            <w:pPr>
              <w:spacing w:after="0" w:before="0"/>
            </w:pPr>
            <w:r>
              <w:rPr>
                <w:rFonts w:ascii="Calibri" w:hAnsi="Calibri"/>
                <w:b/>
                <w:sz w:val="18"/>
              </w:rPr>
              <w:t>Encuentro</w:t>
            </w:r>
          </w:p>
        </w:tc>
        <w:tc>
          <w:tcPr>
            <w:tcW w:type="dxa" w:w="5046"/>
            <w:vAlign w:val="center"/>
          </w:tcPr>
          <w:p>
            <w:pPr>
              <w:spacing w:after="0" w:before="0"/>
            </w:pPr>
            <w:r>
              <w:rPr>
                <w:rFonts w:ascii="Calibri" w:hAnsi="Calibri"/>
                <w:b/>
                <w:sz w:val="18"/>
              </w:rPr>
              <w:t>Taller PEC</w:t>
            </w:r>
          </w:p>
        </w:tc>
        <w:tc>
          <w:tcPr>
            <w:tcW w:type="dxa" w:w="5046"/>
            <w:vAlign w:val="center"/>
          </w:tcPr>
          <w:p>
            <w:pPr>
              <w:spacing w:after="0" w:before="0"/>
            </w:pPr>
            <w:r>
              <w:rPr>
                <w:rFonts w:ascii="Calibri" w:hAnsi="Calibri"/>
                <w:b/>
                <w:sz w:val="18"/>
              </w:rPr>
              <w:t>Evidencia del proceso</w:t>
            </w:r>
          </w:p>
        </w:tc>
      </w:tr>
      <w:tr>
        <w:tc>
          <w:tcPr>
            <w:tcW w:type="dxa" w:w="5046"/>
            <w:vAlign w:val="center"/>
          </w:tcPr>
          <w:p>
            <w:pPr>
              <w:spacing w:after="0" w:before="0"/>
            </w:pPr>
            <w:r>
              <w:rPr>
                <w:rFonts w:ascii="Calibri" w:hAnsi="Calibri"/>
                <w:sz w:val="17"/>
              </w:rPr>
              <w:t>20</w:t>
            </w:r>
          </w:p>
        </w:tc>
        <w:tc>
          <w:tcPr>
            <w:tcW w:type="dxa" w:w="5046"/>
            <w:vAlign w:val="center"/>
          </w:tcPr>
          <w:p>
            <w:pPr>
              <w:spacing w:after="0" w:before="0"/>
            </w:pPr>
            <w:r>
              <w:rPr>
                <w:rFonts w:ascii="Calibri" w:hAnsi="Calibri"/>
                <w:sz w:val="17"/>
              </w:rPr>
              <w:t>A · Mirar antes de actuar</w:t>
            </w:r>
          </w:p>
        </w:tc>
        <w:tc>
          <w:tcPr>
            <w:tcW w:type="dxa" w:w="5046"/>
            <w:vAlign w:val="center"/>
          </w:tcPr>
          <w:p>
            <w:pPr>
              <w:spacing w:after="0" w:before="0"/>
            </w:pPr>
            <w:r>
              <w:rPr>
                <w:rFonts w:ascii="Calibri" w:hAnsi="Calibri"/>
                <w:sz w:val="17"/>
              </w:rPr>
              <w:t>Ficha 1 y observación formativa</w:t>
            </w:r>
          </w:p>
        </w:tc>
      </w:tr>
      <w:tr>
        <w:tc>
          <w:tcPr>
            <w:tcW w:type="dxa" w:w="5046"/>
            <w:vAlign w:val="center"/>
          </w:tcPr>
          <w:p>
            <w:pPr>
              <w:spacing w:after="0" w:before="0"/>
            </w:pPr>
            <w:r>
              <w:rPr>
                <w:rFonts w:ascii="Calibri" w:hAnsi="Calibri"/>
                <w:sz w:val="17"/>
              </w:rPr>
              <w:t>22</w:t>
            </w:r>
          </w:p>
        </w:tc>
        <w:tc>
          <w:tcPr>
            <w:tcW w:type="dxa" w:w="5046"/>
            <w:vAlign w:val="center"/>
          </w:tcPr>
          <w:p>
            <w:pPr>
              <w:spacing w:after="0" w:before="0"/>
            </w:pPr>
            <w:r>
              <w:rPr>
                <w:rFonts w:ascii="Calibri" w:hAnsi="Calibri"/>
                <w:sz w:val="17"/>
              </w:rPr>
              <w:t>B · Elegir con razones</w:t>
            </w:r>
          </w:p>
        </w:tc>
        <w:tc>
          <w:tcPr>
            <w:tcW w:type="dxa" w:w="5046"/>
            <w:vAlign w:val="center"/>
          </w:tcPr>
          <w:p>
            <w:pPr>
              <w:spacing w:after="0" w:before="0"/>
            </w:pPr>
            <w:r>
              <w:rPr>
                <w:rFonts w:ascii="Calibri" w:hAnsi="Calibri"/>
                <w:sz w:val="17"/>
              </w:rPr>
              <w:t>Ficha 2 y observación formativa</w:t>
            </w:r>
          </w:p>
        </w:tc>
      </w:tr>
      <w:tr>
        <w:tc>
          <w:tcPr>
            <w:tcW w:type="dxa" w:w="5046"/>
            <w:vAlign w:val="center"/>
          </w:tcPr>
          <w:p>
            <w:pPr>
              <w:spacing w:after="0" w:before="0"/>
            </w:pPr>
            <w:r>
              <w:rPr>
                <w:rFonts w:ascii="Calibri" w:hAnsi="Calibri"/>
                <w:sz w:val="17"/>
              </w:rPr>
              <w:t>24</w:t>
            </w:r>
          </w:p>
        </w:tc>
        <w:tc>
          <w:tcPr>
            <w:tcW w:type="dxa" w:w="5046"/>
            <w:vAlign w:val="center"/>
          </w:tcPr>
          <w:p>
            <w:pPr>
              <w:spacing w:after="0" w:before="0"/>
            </w:pPr>
            <w:r>
              <w:rPr>
                <w:rFonts w:ascii="Calibri" w:hAnsi="Calibri"/>
                <w:sz w:val="17"/>
              </w:rPr>
              <w:t>C · Pasar de la idea al plan</w:t>
            </w:r>
          </w:p>
        </w:tc>
        <w:tc>
          <w:tcPr>
            <w:tcW w:type="dxa" w:w="5046"/>
            <w:vAlign w:val="center"/>
          </w:tcPr>
          <w:p>
            <w:pPr>
              <w:spacing w:after="0" w:before="0"/>
            </w:pPr>
            <w:r>
              <w:rPr>
                <w:rFonts w:ascii="Calibri" w:hAnsi="Calibri"/>
                <w:sz w:val="17"/>
              </w:rPr>
              <w:t>Ficha 3 y observación formativa</w:t>
            </w:r>
          </w:p>
        </w:tc>
      </w:tr>
      <w:tr>
        <w:tc>
          <w:tcPr>
            <w:tcW w:type="dxa" w:w="5046"/>
            <w:vAlign w:val="center"/>
          </w:tcPr>
          <w:p>
            <w:pPr>
              <w:spacing w:after="0" w:before="0"/>
            </w:pPr>
            <w:r>
              <w:rPr>
                <w:rFonts w:ascii="Calibri" w:hAnsi="Calibri"/>
                <w:sz w:val="17"/>
              </w:rPr>
              <w:t>27</w:t>
            </w:r>
          </w:p>
        </w:tc>
        <w:tc>
          <w:tcPr>
            <w:tcW w:type="dxa" w:w="5046"/>
            <w:vAlign w:val="center"/>
          </w:tcPr>
          <w:p>
            <w:pPr>
              <w:spacing w:after="0" w:before="0"/>
            </w:pPr>
            <w:r>
              <w:rPr>
                <w:rFonts w:ascii="Calibri" w:hAnsi="Calibri"/>
                <w:sz w:val="17"/>
              </w:rPr>
              <w:t>D · Organizar para cumplir</w:t>
            </w:r>
          </w:p>
        </w:tc>
        <w:tc>
          <w:tcPr>
            <w:tcW w:type="dxa" w:w="5046"/>
            <w:vAlign w:val="center"/>
          </w:tcPr>
          <w:p>
            <w:pPr>
              <w:spacing w:after="0" w:before="0"/>
            </w:pPr>
            <w:r>
              <w:rPr>
                <w:rFonts w:ascii="Calibri" w:hAnsi="Calibri"/>
                <w:sz w:val="17"/>
              </w:rPr>
              <w:t>Ficha 4 y observación formativa</w:t>
            </w:r>
          </w:p>
        </w:tc>
      </w:tr>
      <w:tr>
        <w:tc>
          <w:tcPr>
            <w:tcW w:type="dxa" w:w="5046"/>
            <w:vAlign w:val="center"/>
          </w:tcPr>
          <w:p>
            <w:pPr>
              <w:spacing w:after="0" w:before="0"/>
            </w:pPr>
            <w:r>
              <w:rPr>
                <w:rFonts w:ascii="Calibri" w:hAnsi="Calibri"/>
                <w:sz w:val="17"/>
              </w:rPr>
              <w:t>30</w:t>
            </w:r>
          </w:p>
        </w:tc>
        <w:tc>
          <w:tcPr>
            <w:tcW w:type="dxa" w:w="5046"/>
            <w:vAlign w:val="center"/>
          </w:tcPr>
          <w:p>
            <w:pPr>
              <w:spacing w:after="0" w:before="0"/>
            </w:pPr>
            <w:r>
              <w:rPr>
                <w:rFonts w:ascii="Calibri" w:hAnsi="Calibri"/>
                <w:sz w:val="17"/>
              </w:rPr>
              <w:t>E · Actuar y registrar</w:t>
            </w:r>
          </w:p>
        </w:tc>
        <w:tc>
          <w:tcPr>
            <w:tcW w:type="dxa" w:w="5046"/>
            <w:vAlign w:val="center"/>
          </w:tcPr>
          <w:p>
            <w:pPr>
              <w:spacing w:after="0" w:before="0"/>
            </w:pPr>
            <w:r>
              <w:rPr>
                <w:rFonts w:ascii="Calibri" w:hAnsi="Calibri"/>
                <w:sz w:val="17"/>
              </w:rPr>
              <w:t>Ficha 5 y observación formativa</w:t>
            </w:r>
          </w:p>
        </w:tc>
      </w:tr>
      <w:tr>
        <w:tc>
          <w:tcPr>
            <w:tcW w:type="dxa" w:w="5046"/>
            <w:vAlign w:val="center"/>
          </w:tcPr>
          <w:p>
            <w:pPr>
              <w:spacing w:after="0" w:before="0"/>
            </w:pPr>
            <w:r>
              <w:rPr>
                <w:rFonts w:ascii="Calibri" w:hAnsi="Calibri"/>
                <w:sz w:val="17"/>
              </w:rPr>
              <w:t>33</w:t>
            </w:r>
          </w:p>
        </w:tc>
        <w:tc>
          <w:tcPr>
            <w:tcW w:type="dxa" w:w="5046"/>
            <w:vAlign w:val="center"/>
          </w:tcPr>
          <w:p>
            <w:pPr>
              <w:spacing w:after="0" w:before="0"/>
            </w:pPr>
            <w:r>
              <w:rPr>
                <w:rFonts w:ascii="Calibri" w:hAnsi="Calibri"/>
                <w:sz w:val="17"/>
              </w:rPr>
              <w:t>F · Aprender de los resultados</w:t>
            </w:r>
          </w:p>
        </w:tc>
        <w:tc>
          <w:tcPr>
            <w:tcW w:type="dxa" w:w="5046"/>
            <w:vAlign w:val="center"/>
          </w:tcPr>
          <w:p>
            <w:pPr>
              <w:spacing w:after="0" w:before="0"/>
            </w:pPr>
            <w:r>
              <w:rPr>
                <w:rFonts w:ascii="Calibri" w:hAnsi="Calibri"/>
                <w:sz w:val="17"/>
              </w:rPr>
              <w:t>Ficha 6 y observación formativa</w:t>
            </w:r>
          </w:p>
        </w:tc>
      </w:tr>
    </w:tbl>
    <w:p>
      <w:pPr/>
      <w:r>
        <w:rPr>
          <w:sz w:val="19"/>
        </w:rPr>
        <w:t>Las seis continuaciones prácticas originales permanecen en el tomo como material de apoyo y refuerzo de Orientación; en este plan no equivalen a seis horas o jornadas adicionales. Cuando la clase requiera intervención externa, aplazar hasta recibir permisos; en su lugar desarrollar simulación o estudio de caso.</w:t>
      </w:r>
    </w:p>
    <w:sectPr w:rsidR="00FC693F" w:rsidRPr="0006063C" w:rsidSect="00034616">
      <w:footerReference w:type="default" r:id="rId9"/>
      <w:pgSz w:w="18720" w:h="12240" w:orient="landscape"/>
      <w:pgMar w:top="850" w:right="792" w:bottom="85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