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36"/>
          <w:headerReference w:type="default" r:id="rId9"/>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las actividades de aplicación de las 20 clases, las orientaciones para corregir la prueba diagnóstica y las claves de las dos evaluaciones de unidad y de las dos integradoras de etapa, con el desarrollo de sus casos.</w:t>
      </w:r>
    </w:p>
    <w:p>
      <w:pPr>
        <w:spacing w:before="0" w:after="80"/>
        <w:jc w:val="both"/>
      </w:pPr>
      <w:r>
        <w:rPr>
          <w:b w:val="0"/>
          <w:i w:val="0"/>
          <w:sz w:val="21"/>
        </w:rPr>
        <w:t>Incluye además, para cada una de las 20 prácticas y de las 12 fichas de profundización (A a L), el resultado esperado y los errores frecuentes que conviene vigilar durante la sesión, y cierra con la rúbrica analítica y las orientaciones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del MEC; los indicadores de logro son operativizaciones observables. Cada pieza tiene sus propios datos para que las respuestas no se copien de los ejemplos: el aula, la secretaría, la biblioteca y otros ambientes del Instituto Ko'ẽju en las clases, la Farmacia Tajy en las Prácticas 14 a 19 y otros clientes en las evaluaciones. Todas las cifras se verificaron por cálculo antes de la edición. Los datos técnicos y regulatorios están actualizados a octubre de 2026 y deben volver a verificarse por modelo y fecha.</w:t>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4</w:t>
      </w:r>
    </w:p>
    <w:p>
      <w:pPr>
        <w:pStyle w:val="TDC1"/>
        <w:tabs>
          <w:tab w:pos="10777" w:val="right" w:leader="dot"/>
        </w:tabs>
      </w:pPr>
      <w:r>
        <w:rPr>
          <w:b/>
          <w:i w:val="0"/>
          <w:sz w:val="19"/>
        </w:rPr>
        <w:t>Primera parte — Clases y prácticas</w:t>
      </w:r>
      <w:r>
        <w:tab/>
      </w:r>
      <w:r>
        <w:rPr>
          <w:b/>
          <w:i w:val="0"/>
          <w:sz w:val="19"/>
        </w:rPr>
        <w:t>5</w:t>
      </w:r>
    </w:p>
    <w:p>
      <w:pPr>
        <w:pStyle w:val="TDC2"/>
        <w:tabs>
          <w:tab w:pos="10777" w:val="right" w:leader="dot"/>
        </w:tabs>
      </w:pPr>
      <w:r>
        <w:rPr>
          <w:b w:val="0"/>
          <w:i w:val="0"/>
          <w:sz w:val="19"/>
        </w:rPr>
        <w:t>Clase 1 — El gabinete de la computadora</w:t>
      </w:r>
      <w:r>
        <w:tab/>
      </w:r>
      <w:r>
        <w:rPr>
          <w:b w:val="0"/>
          <w:i w:val="0"/>
          <w:sz w:val="19"/>
        </w:rPr>
        <w:t>5</w:t>
      </w:r>
    </w:p>
    <w:p>
      <w:pPr>
        <w:pStyle w:val="TDC2"/>
        <w:tabs>
          <w:tab w:pos="10777" w:val="right" w:leader="dot"/>
        </w:tabs>
      </w:pPr>
      <w:r>
        <w:rPr>
          <w:b w:val="0"/>
          <w:i w:val="0"/>
          <w:sz w:val="19"/>
        </w:rPr>
        <w:t>Clase 2 — La fuente de alimentación</w:t>
      </w:r>
      <w:r>
        <w:tab/>
      </w:r>
      <w:r>
        <w:rPr>
          <w:b w:val="0"/>
          <w:i w:val="0"/>
          <w:sz w:val="19"/>
        </w:rPr>
        <w:t>5</w:t>
      </w:r>
    </w:p>
    <w:p>
      <w:pPr>
        <w:pStyle w:val="TDC2"/>
        <w:tabs>
          <w:tab w:pos="10777" w:val="right" w:leader="dot"/>
        </w:tabs>
      </w:pPr>
      <w:r>
        <w:rPr>
          <w:b w:val="0"/>
          <w:i w:val="0"/>
          <w:sz w:val="19"/>
        </w:rPr>
        <w:t>Clase 3 — La placa madre</w:t>
      </w:r>
      <w:r>
        <w:tab/>
      </w:r>
      <w:r>
        <w:rPr>
          <w:b w:val="0"/>
          <w:i w:val="0"/>
          <w:sz w:val="19"/>
        </w:rPr>
        <w:t>5</w:t>
      </w:r>
    </w:p>
    <w:p>
      <w:pPr>
        <w:pStyle w:val="TDC2"/>
        <w:tabs>
          <w:tab w:pos="10777" w:val="right" w:leader="dot"/>
        </w:tabs>
      </w:pPr>
      <w:r>
        <w:rPr>
          <w:b w:val="0"/>
          <w:i w:val="0"/>
          <w:sz w:val="19"/>
        </w:rPr>
        <w:t>Clase 4 — Slots de expansión</w:t>
      </w:r>
      <w:r>
        <w:tab/>
      </w:r>
      <w:r>
        <w:rPr>
          <w:b w:val="0"/>
          <w:i w:val="0"/>
          <w:sz w:val="19"/>
        </w:rPr>
        <w:t>5</w:t>
      </w:r>
    </w:p>
    <w:p>
      <w:pPr>
        <w:pStyle w:val="TDC2"/>
        <w:tabs>
          <w:tab w:pos="10777" w:val="right" w:leader="dot"/>
        </w:tabs>
      </w:pPr>
      <w:r>
        <w:rPr>
          <w:b w:val="0"/>
          <w:i w:val="0"/>
          <w:sz w:val="19"/>
        </w:rPr>
        <w:t>Clase 5 — Puertos de conexión</w:t>
      </w:r>
      <w:r>
        <w:tab/>
      </w:r>
      <w:r>
        <w:rPr>
          <w:b w:val="0"/>
          <w:i w:val="0"/>
          <w:sz w:val="19"/>
        </w:rPr>
        <w:t>6</w:t>
      </w:r>
    </w:p>
    <w:p>
      <w:pPr>
        <w:pStyle w:val="TDC2"/>
        <w:tabs>
          <w:tab w:pos="10777" w:val="right" w:leader="dot"/>
        </w:tabs>
      </w:pPr>
      <w:r>
        <w:rPr>
          <w:b w:val="0"/>
          <w:i w:val="0"/>
          <w:sz w:val="19"/>
        </w:rPr>
        <w:t>Clase 6 — El microprocesador</w:t>
      </w:r>
      <w:r>
        <w:tab/>
      </w:r>
      <w:r>
        <w:rPr>
          <w:b w:val="0"/>
          <w:i w:val="0"/>
          <w:sz w:val="19"/>
        </w:rPr>
        <w:t>6</w:t>
      </w:r>
    </w:p>
    <w:p>
      <w:pPr>
        <w:pStyle w:val="TDC2"/>
        <w:tabs>
          <w:tab w:pos="10777" w:val="right" w:leader="dot"/>
        </w:tabs>
      </w:pPr>
      <w:r>
        <w:rPr>
          <w:b w:val="0"/>
          <w:i w:val="0"/>
          <w:sz w:val="19"/>
        </w:rPr>
        <w:t>Clase 7 — Las memorias</w:t>
      </w:r>
      <w:r>
        <w:tab/>
      </w:r>
      <w:r>
        <w:rPr>
          <w:b w:val="0"/>
          <w:i w:val="0"/>
          <w:sz w:val="19"/>
        </w:rPr>
        <w:t>6</w:t>
      </w:r>
    </w:p>
    <w:p>
      <w:pPr>
        <w:pStyle w:val="TDC2"/>
        <w:tabs>
          <w:tab w:pos="10777" w:val="right" w:leader="dot"/>
        </w:tabs>
      </w:pPr>
      <w:r>
        <w:rPr>
          <w:b w:val="0"/>
          <w:i w:val="0"/>
          <w:sz w:val="19"/>
        </w:rPr>
        <w:t>Clase 8 — Almacenamiento: discos duros y SSD</w:t>
      </w:r>
      <w:r>
        <w:tab/>
      </w:r>
      <w:r>
        <w:rPr>
          <w:b w:val="0"/>
          <w:i w:val="0"/>
          <w:sz w:val="19"/>
        </w:rPr>
        <w:t>6</w:t>
      </w:r>
    </w:p>
    <w:p>
      <w:pPr>
        <w:pStyle w:val="TDC2"/>
        <w:tabs>
          <w:tab w:pos="10777" w:val="right" w:leader="dot"/>
        </w:tabs>
      </w:pPr>
      <w:r>
        <w:rPr>
          <w:b w:val="0"/>
          <w:i w:val="0"/>
          <w:sz w:val="19"/>
        </w:rPr>
        <w:t>Clase 9 — Lectoras de CD, DVD y Blu-ray</w:t>
      </w:r>
      <w:r>
        <w:tab/>
      </w:r>
      <w:r>
        <w:rPr>
          <w:b w:val="0"/>
          <w:i w:val="0"/>
          <w:sz w:val="19"/>
        </w:rPr>
        <w:t>6</w:t>
      </w:r>
    </w:p>
    <w:p>
      <w:pPr>
        <w:pStyle w:val="TDC2"/>
        <w:tabs>
          <w:tab w:pos="10777" w:val="right" w:leader="dot"/>
        </w:tabs>
      </w:pPr>
      <w:r>
        <w:rPr>
          <w:b w:val="0"/>
          <w:i w:val="0"/>
          <w:sz w:val="19"/>
        </w:rPr>
        <w:t>Clase 10 — Impresoras</w:t>
      </w:r>
      <w:r>
        <w:tab/>
      </w:r>
      <w:r>
        <w:rPr>
          <w:b w:val="0"/>
          <w:i w:val="0"/>
          <w:sz w:val="19"/>
        </w:rPr>
        <w:t>7</w:t>
      </w:r>
    </w:p>
    <w:p>
      <w:pPr>
        <w:pStyle w:val="TDC2"/>
        <w:tabs>
          <w:tab w:pos="10777" w:val="right" w:leader="dot"/>
        </w:tabs>
      </w:pPr>
      <w:r>
        <w:rPr>
          <w:b w:val="0"/>
          <w:i w:val="0"/>
          <w:sz w:val="19"/>
        </w:rPr>
        <w:t>Clase 11 — La red de computadoras</w:t>
      </w:r>
      <w:r>
        <w:tab/>
      </w:r>
      <w:r>
        <w:rPr>
          <w:b w:val="0"/>
          <w:i w:val="0"/>
          <w:sz w:val="19"/>
        </w:rPr>
        <w:t>7</w:t>
      </w:r>
    </w:p>
    <w:p>
      <w:pPr>
        <w:pStyle w:val="TDC2"/>
        <w:tabs>
          <w:tab w:pos="10777" w:val="right" w:leader="dot"/>
        </w:tabs>
      </w:pPr>
      <w:r>
        <w:rPr>
          <w:b w:val="0"/>
          <w:i w:val="0"/>
          <w:sz w:val="19"/>
        </w:rPr>
        <w:t>Clase 12 — Protocolos y estándares</w:t>
      </w:r>
      <w:r>
        <w:tab/>
      </w:r>
      <w:r>
        <w:rPr>
          <w:b w:val="0"/>
          <w:i w:val="0"/>
          <w:sz w:val="19"/>
        </w:rPr>
        <w:t>7</w:t>
      </w:r>
    </w:p>
    <w:p>
      <w:pPr>
        <w:pStyle w:val="TDC2"/>
        <w:tabs>
          <w:tab w:pos="10777" w:val="right" w:leader="dot"/>
        </w:tabs>
      </w:pPr>
      <w:r>
        <w:rPr>
          <w:b w:val="0"/>
          <w:i w:val="0"/>
          <w:sz w:val="19"/>
        </w:rPr>
        <w:t>Clase 13 — Redes por alcance: LAN, MAN y WAN</w:t>
      </w:r>
      <w:r>
        <w:tab/>
      </w:r>
      <w:r>
        <w:rPr>
          <w:b w:val="0"/>
          <w:i w:val="0"/>
          <w:sz w:val="19"/>
        </w:rPr>
        <w:t>7</w:t>
      </w:r>
    </w:p>
    <w:p>
      <w:pPr>
        <w:pStyle w:val="TDC2"/>
        <w:tabs>
          <w:tab w:pos="10777" w:val="right" w:leader="dot"/>
        </w:tabs>
      </w:pPr>
      <w:r>
        <w:rPr>
          <w:b w:val="0"/>
          <w:i w:val="0"/>
          <w:sz w:val="19"/>
        </w:rPr>
        <w:t>Clase 14 — Topologías de red</w:t>
      </w:r>
      <w:r>
        <w:tab/>
      </w:r>
      <w:r>
        <w:rPr>
          <w:b w:val="0"/>
          <w:i w:val="0"/>
          <w:sz w:val="19"/>
        </w:rPr>
        <w:t>8</w:t>
      </w:r>
    </w:p>
    <w:p>
      <w:pPr>
        <w:pStyle w:val="TDC2"/>
        <w:tabs>
          <w:tab w:pos="10777" w:val="right" w:leader="dot"/>
        </w:tabs>
      </w:pPr>
      <w:r>
        <w:rPr>
          <w:b w:val="0"/>
          <w:i w:val="0"/>
          <w:sz w:val="19"/>
        </w:rPr>
        <w:t>Clase 15 — Equipos de red</w:t>
      </w:r>
      <w:r>
        <w:tab/>
      </w:r>
      <w:r>
        <w:rPr>
          <w:b w:val="0"/>
          <w:i w:val="0"/>
          <w:sz w:val="19"/>
        </w:rPr>
        <w:t>8</w:t>
      </w:r>
    </w:p>
    <w:p>
      <w:pPr>
        <w:pStyle w:val="TDC2"/>
        <w:tabs>
          <w:tab w:pos="10777" w:val="right" w:leader="dot"/>
        </w:tabs>
      </w:pPr>
      <w:r>
        <w:rPr>
          <w:b w:val="0"/>
          <w:i w:val="0"/>
          <w:sz w:val="19"/>
        </w:rPr>
        <w:t>Clase 16 — Materiales de red</w:t>
      </w:r>
      <w:r>
        <w:tab/>
      </w:r>
      <w:r>
        <w:rPr>
          <w:b w:val="0"/>
          <w:i w:val="0"/>
          <w:sz w:val="19"/>
        </w:rPr>
        <w:t>8</w:t>
      </w:r>
    </w:p>
    <w:p>
      <w:pPr>
        <w:pStyle w:val="TDC2"/>
        <w:tabs>
          <w:tab w:pos="10777" w:val="right" w:leader="dot"/>
        </w:tabs>
      </w:pPr>
      <w:r>
        <w:rPr>
          <w:b w:val="0"/>
          <w:i w:val="0"/>
          <w:sz w:val="19"/>
        </w:rPr>
        <w:t>Clase 17 — Medios de transmisión guiados</w:t>
      </w:r>
      <w:r>
        <w:tab/>
      </w:r>
      <w:r>
        <w:rPr>
          <w:b w:val="0"/>
          <w:i w:val="0"/>
          <w:sz w:val="19"/>
        </w:rPr>
        <w:t>8</w:t>
      </w:r>
    </w:p>
    <w:p>
      <w:pPr>
        <w:pStyle w:val="TDC2"/>
        <w:tabs>
          <w:tab w:pos="10777" w:val="right" w:leader="dot"/>
        </w:tabs>
      </w:pPr>
      <w:r>
        <w:rPr>
          <w:b w:val="0"/>
          <w:i w:val="0"/>
          <w:sz w:val="19"/>
        </w:rPr>
        <w:t>Clase 18 — Medios de transmisión no guiados</w:t>
      </w:r>
      <w:r>
        <w:tab/>
      </w:r>
      <w:r>
        <w:rPr>
          <w:b w:val="0"/>
          <w:i w:val="0"/>
          <w:sz w:val="19"/>
        </w:rPr>
        <w:t>9</w:t>
      </w:r>
    </w:p>
    <w:p>
      <w:pPr>
        <w:pStyle w:val="TDC2"/>
        <w:tabs>
          <w:tab w:pos="10777" w:val="right" w:leader="dot"/>
        </w:tabs>
      </w:pPr>
      <w:r>
        <w:rPr>
          <w:b w:val="0"/>
          <w:i w:val="0"/>
          <w:sz w:val="19"/>
        </w:rPr>
        <w:t>Clase 19 — Cableado estructurado</w:t>
      </w:r>
      <w:r>
        <w:tab/>
      </w:r>
      <w:r>
        <w:rPr>
          <w:b w:val="0"/>
          <w:i w:val="0"/>
          <w:sz w:val="19"/>
        </w:rPr>
        <w:t>9</w:t>
      </w:r>
    </w:p>
    <w:p>
      <w:pPr>
        <w:pStyle w:val="TDC2"/>
        <w:tabs>
          <w:tab w:pos="10777" w:val="right" w:leader="dot"/>
        </w:tabs>
      </w:pPr>
      <w:r>
        <w:rPr>
          <w:b w:val="0"/>
          <w:i w:val="0"/>
          <w:sz w:val="19"/>
        </w:rPr>
        <w:t>Clase 20 — CONATEL y el marco regulatorio</w:t>
      </w:r>
      <w:r>
        <w:tab/>
      </w:r>
      <w:r>
        <w:rPr>
          <w:b w:val="0"/>
          <w:i w:val="0"/>
          <w:sz w:val="19"/>
        </w:rPr>
        <w:t>9</w:t>
      </w:r>
    </w:p>
    <w:p>
      <w:pPr>
        <w:pStyle w:val="TDC1"/>
        <w:tabs>
          <w:tab w:pos="10777" w:val="right" w:leader="dot"/>
        </w:tabs>
      </w:pPr>
      <w:r>
        <w:rPr>
          <w:b/>
          <w:i w:val="0"/>
          <w:sz w:val="19"/>
        </w:rPr>
        <w:t>Segunda parte — Evaluaciones</w:t>
      </w:r>
      <w:r>
        <w:tab/>
      </w:r>
      <w:r>
        <w:rPr>
          <w:b/>
          <w:i w:val="0"/>
          <w:sz w:val="19"/>
        </w:rPr>
        <w:t>10</w:t>
      </w:r>
    </w:p>
    <w:p>
      <w:pPr>
        <w:pStyle w:val="TDC2"/>
        <w:tabs>
          <w:tab w:pos="10777" w:val="right" w:leader="dot"/>
        </w:tabs>
      </w:pPr>
      <w:r>
        <w:rPr>
          <w:b w:val="0"/>
          <w:i w:val="0"/>
          <w:sz w:val="19"/>
        </w:rPr>
        <w:t>Evaluación de la Unidad 1 — Componentes básicos de una computadora</w:t>
      </w:r>
      <w:r>
        <w:tab/>
      </w:r>
      <w:r>
        <w:rPr>
          <w:b w:val="0"/>
          <w:i w:val="0"/>
          <w:sz w:val="19"/>
        </w:rPr>
        <w:t>10</w:t>
      </w:r>
    </w:p>
    <w:p>
      <w:pPr>
        <w:pStyle w:val="TDC2"/>
        <w:tabs>
          <w:tab w:pos="10777" w:val="right" w:leader="dot"/>
        </w:tabs>
      </w:pPr>
      <w:r>
        <w:rPr>
          <w:b w:val="0"/>
          <w:i w:val="0"/>
          <w:sz w:val="19"/>
        </w:rPr>
        <w:t>Evaluación integradora de la 1.ª etapa</w:t>
      </w:r>
      <w:r>
        <w:tab/>
      </w:r>
      <w:r>
        <w:rPr>
          <w:b w:val="0"/>
          <w:i w:val="0"/>
          <w:sz w:val="19"/>
        </w:rPr>
        <w:t>10</w:t>
      </w:r>
    </w:p>
    <w:p>
      <w:pPr>
        <w:pStyle w:val="TDC2"/>
        <w:tabs>
          <w:tab w:pos="10777" w:val="right" w:leader="dot"/>
        </w:tabs>
      </w:pPr>
      <w:r>
        <w:rPr>
          <w:b w:val="0"/>
          <w:i w:val="0"/>
          <w:sz w:val="19"/>
        </w:rPr>
        <w:t>Evaluación de la Unidad 2 — Redes de computadoras</w:t>
      </w:r>
      <w:r>
        <w:tab/>
      </w:r>
      <w:r>
        <w:rPr>
          <w:b w:val="0"/>
          <w:i w:val="0"/>
          <w:sz w:val="19"/>
        </w:rPr>
        <w:t>10</w:t>
      </w:r>
    </w:p>
    <w:p>
      <w:pPr>
        <w:pStyle w:val="TDC2"/>
        <w:tabs>
          <w:tab w:pos="10777" w:val="right" w:leader="dot"/>
        </w:tabs>
      </w:pPr>
      <w:r>
        <w:rPr>
          <w:b w:val="0"/>
          <w:i w:val="0"/>
          <w:sz w:val="19"/>
        </w:rPr>
        <w:t>Evaluación integradora de la 2.ª etapa</w:t>
      </w:r>
      <w:r>
        <w:tab/>
      </w:r>
      <w:r>
        <w:rPr>
          <w:b w:val="0"/>
          <w:i w:val="0"/>
          <w:sz w:val="19"/>
        </w:rPr>
        <w:t>10</w:t>
      </w:r>
    </w:p>
    <w:p>
      <w:pPr>
        <w:pStyle w:val="TDC1"/>
        <w:tabs>
          <w:tab w:pos="10777" w:val="right" w:leader="dot"/>
        </w:tabs>
      </w:pPr>
      <w:r>
        <w:rPr>
          <w:b/>
          <w:i w:val="0"/>
          <w:sz w:val="19"/>
        </w:rPr>
        <w:t>Tercera parte — Fichas de profundización A–L</w:t>
      </w:r>
      <w:r>
        <w:tab/>
      </w:r>
      <w:r>
        <w:rPr>
          <w:b/>
          <w:i w:val="0"/>
          <w:sz w:val="19"/>
        </w:rPr>
        <w:t>11</w:t>
      </w:r>
    </w:p>
    <w:p>
      <w:pPr>
        <w:pStyle w:val="TDC2"/>
        <w:tabs>
          <w:tab w:pos="10777" w:val="right" w:leader="dot"/>
        </w:tabs>
      </w:pPr>
      <w:r>
        <w:rPr>
          <w:b w:val="0"/>
          <w:i w:val="0"/>
          <w:sz w:val="19"/>
        </w:rPr>
        <w:t>Ficha A — Compatibilidad gabinete · placa madre · fuente</w:t>
      </w:r>
      <w:r>
        <w:tab/>
      </w:r>
      <w:r>
        <w:rPr>
          <w:b w:val="0"/>
          <w:i w:val="0"/>
          <w:sz w:val="19"/>
        </w:rPr>
        <w:t>11</w:t>
      </w:r>
    </w:p>
    <w:p>
      <w:pPr>
        <w:pStyle w:val="TDC2"/>
        <w:tabs>
          <w:tab w:pos="10777" w:val="right" w:leader="dot"/>
        </w:tabs>
      </w:pPr>
      <w:r>
        <w:rPr>
          <w:b w:val="0"/>
          <w:i w:val="0"/>
          <w:sz w:val="19"/>
        </w:rPr>
        <w:t>Ficha B — PCIe y M.2: formato, generación y carriles</w:t>
      </w:r>
      <w:r>
        <w:tab/>
      </w:r>
      <w:r>
        <w:rPr>
          <w:b w:val="0"/>
          <w:i w:val="0"/>
          <w:sz w:val="19"/>
        </w:rPr>
        <w:t>11</w:t>
      </w:r>
    </w:p>
    <w:p>
      <w:pPr>
        <w:pStyle w:val="TDC2"/>
        <w:tabs>
          <w:tab w:pos="10777" w:val="right" w:leader="dot"/>
        </w:tabs>
      </w:pPr>
      <w:r>
        <w:rPr>
          <w:b w:val="0"/>
          <w:i w:val="0"/>
          <w:sz w:val="19"/>
        </w:rPr>
        <w:t>Ficha C — USB-C no es una velocidad</w:t>
      </w:r>
      <w:r>
        <w:tab/>
      </w:r>
      <w:r>
        <w:rPr>
          <w:b w:val="0"/>
          <w:i w:val="0"/>
          <w:sz w:val="19"/>
        </w:rPr>
        <w:t>11</w:t>
      </w:r>
    </w:p>
    <w:p>
      <w:pPr>
        <w:pStyle w:val="TDC2"/>
        <w:tabs>
          <w:tab w:pos="10777" w:val="right" w:leader="dot"/>
        </w:tabs>
      </w:pPr>
      <w:r>
        <w:rPr>
          <w:b w:val="0"/>
          <w:i w:val="0"/>
          <w:sz w:val="19"/>
        </w:rPr>
        <w:t>Ficha D — CPU, RAM y placa: cadena de compatibilidad</w:t>
      </w:r>
      <w:r>
        <w:tab/>
      </w:r>
      <w:r>
        <w:rPr>
          <w:b w:val="0"/>
          <w:i w:val="0"/>
          <w:sz w:val="19"/>
        </w:rPr>
        <w:t>11</w:t>
      </w:r>
    </w:p>
    <w:p>
      <w:pPr>
        <w:pStyle w:val="TDC2"/>
        <w:tabs>
          <w:tab w:pos="10777" w:val="right" w:leader="dot"/>
        </w:tabs>
      </w:pPr>
      <w:r>
        <w:rPr>
          <w:b w:val="0"/>
          <w:i w:val="0"/>
          <w:sz w:val="19"/>
        </w:rPr>
        <w:t>Ficha E — Almacenamiento y migración segura</w:t>
      </w:r>
      <w:r>
        <w:tab/>
      </w:r>
      <w:r>
        <w:rPr>
          <w:b w:val="0"/>
          <w:i w:val="0"/>
          <w:sz w:val="19"/>
        </w:rPr>
        <w:t>11</w:t>
      </w:r>
    </w:p>
    <w:p>
      <w:pPr>
        <w:pStyle w:val="TDC2"/>
        <w:tabs>
          <w:tab w:pos="10777" w:val="right" w:leader="dot"/>
        </w:tabs>
      </w:pPr>
      <w:r>
        <w:rPr>
          <w:b w:val="0"/>
          <w:i w:val="0"/>
          <w:sz w:val="19"/>
        </w:rPr>
        <w:t>Ficha F — Costo total de impresión</w:t>
      </w:r>
      <w:r>
        <w:tab/>
      </w:r>
      <w:r>
        <w:rPr>
          <w:b w:val="0"/>
          <w:i w:val="0"/>
          <w:sz w:val="19"/>
        </w:rPr>
        <w:t>11</w:t>
      </w:r>
    </w:p>
    <w:p>
      <w:pPr>
        <w:pStyle w:val="TDC2"/>
        <w:tabs>
          <w:tab w:pos="10777" w:val="right" w:leader="dot"/>
        </w:tabs>
      </w:pPr>
      <w:r>
        <w:rPr>
          <w:b w:val="0"/>
          <w:i w:val="0"/>
          <w:sz w:val="19"/>
        </w:rPr>
        <w:t>Ficha G — Diagnóstico IP paso a paso</w:t>
      </w:r>
      <w:r>
        <w:tab/>
      </w:r>
      <w:r>
        <w:rPr>
          <w:b w:val="0"/>
          <w:i w:val="0"/>
          <w:sz w:val="19"/>
        </w:rPr>
        <w:t>11</w:t>
      </w:r>
    </w:p>
    <w:p>
      <w:pPr>
        <w:pStyle w:val="TDC2"/>
        <w:tabs>
          <w:tab w:pos="10777" w:val="right" w:leader="dot"/>
        </w:tabs>
      </w:pPr>
      <w:r>
        <w:rPr>
          <w:b w:val="0"/>
          <w:i w:val="0"/>
          <w:sz w:val="19"/>
        </w:rPr>
        <w:t>Ficha H — Topologías modernas y dominios de falla</w:t>
      </w:r>
      <w:r>
        <w:tab/>
      </w:r>
      <w:r>
        <w:rPr>
          <w:b w:val="0"/>
          <w:i w:val="0"/>
          <w:sz w:val="19"/>
        </w:rPr>
        <w:t>11</w:t>
      </w:r>
    </w:p>
    <w:p>
      <w:pPr>
        <w:pStyle w:val="TDC2"/>
        <w:tabs>
          <w:tab w:pos="10777" w:val="right" w:leader="dot"/>
        </w:tabs>
      </w:pPr>
      <w:r>
        <w:rPr>
          <w:b w:val="0"/>
          <w:i w:val="0"/>
          <w:sz w:val="19"/>
        </w:rPr>
        <w:t>Ficha I — Dimensionamiento y BOM de una red pequeña</w:t>
      </w:r>
      <w:r>
        <w:tab/>
      </w:r>
      <w:r>
        <w:rPr>
          <w:b w:val="0"/>
          <w:i w:val="0"/>
          <w:sz w:val="19"/>
        </w:rPr>
        <w:t>11</w:t>
      </w:r>
    </w:p>
    <w:p>
      <w:pPr>
        <w:pStyle w:val="TDC2"/>
        <w:tabs>
          <w:tab w:pos="10777" w:val="right" w:leader="dot"/>
        </w:tabs>
      </w:pPr>
      <w:r>
        <w:rPr>
          <w:b w:val="0"/>
          <w:i w:val="0"/>
          <w:sz w:val="19"/>
        </w:rPr>
        <w:t>Ficha J — Cat 6, Cat 6A y T568: especificar sin simplificar</w:t>
      </w:r>
      <w:r>
        <w:tab/>
      </w:r>
      <w:r>
        <w:rPr>
          <w:b w:val="0"/>
          <w:i w:val="0"/>
          <w:sz w:val="19"/>
        </w:rPr>
        <w:t>11</w:t>
      </w:r>
    </w:p>
    <w:p>
      <w:pPr>
        <w:pStyle w:val="TDC2"/>
        <w:tabs>
          <w:tab w:pos="10777" w:val="right" w:leader="dot"/>
        </w:tabs>
      </w:pPr>
      <w:r>
        <w:rPr>
          <w:b w:val="0"/>
          <w:i w:val="0"/>
          <w:sz w:val="19"/>
        </w:rPr>
        <w:t>Ficha K — Wi-Fi: cobertura, rendimiento y seguridad</w:t>
      </w:r>
      <w:r>
        <w:tab/>
      </w:r>
      <w:r>
        <w:rPr>
          <w:b w:val="0"/>
          <w:i w:val="0"/>
          <w:sz w:val="19"/>
        </w:rPr>
        <w:t>11</w:t>
      </w:r>
    </w:p>
    <w:p>
      <w:pPr>
        <w:pStyle w:val="TDC2"/>
        <w:tabs>
          <w:tab w:pos="10777" w:val="right" w:leader="dot"/>
        </w:tabs>
      </w:pPr>
      <w:r>
        <w:rPr>
          <w:b w:val="0"/>
          <w:i w:val="0"/>
          <w:sz w:val="19"/>
        </w:rPr>
        <w:t>Ficha L — CONATEL y expediente técnico verificable</w:t>
      </w:r>
      <w:r>
        <w:tab/>
      </w:r>
      <w:r>
        <w:rPr>
          <w:b w:val="0"/>
          <w:i w:val="0"/>
          <w:sz w:val="19"/>
        </w:rPr>
        <w:t>11</w:t>
      </w:r>
    </w:p>
    <w:p>
      <w:pPr>
        <w:pStyle w:val="TDC1"/>
        <w:tabs>
          <w:tab w:pos="10777" w:val="right" w:leader="dot"/>
        </w:tabs>
      </w:pPr>
      <w:r>
        <w:rPr>
          <w:b/>
          <w:i w:val="0"/>
          <w:sz w:val="19"/>
        </w:rPr>
        <w:t>Proyecto Final Integrador — Rúbrica analítica y orientaciones</w:t>
      </w:r>
      <w:r>
        <w:tab/>
      </w:r>
      <w:r>
        <w:rPr>
          <w:b/>
          <w:i w:val="0"/>
          <w:sz w:val="19"/>
        </w:rPr>
        <w:t>12</w:t>
      </w:r>
      <w:r>
        <w:fldChar w:fldCharType="end"/>
      </w:r>
    </w:p>
    <w:p>
      <w:pPr>
        <w:pStyle w:val="Ttulo1"/>
        <w:pageBreakBefore/>
      </w:pPr>
      <w:r>
        <w:t>Prueba diagnóstica — Orientaciones de corrección</w:t>
      </w:r>
    </w:p>
    <w:p>
      <w:pPr>
        <w:spacing w:before="0" w:after="60"/>
        <w:ind w:left="170"/>
        <w:jc w:val="both"/>
      </w:pPr>
      <w:r>
        <w:rPr>
          <w:b w:val="0"/>
          <w:i w:val="0"/>
          <w:sz w:val="20"/>
        </w:rPr>
        <w:t>• Consigna 1: se espera monitor/teclado/mouse/gabinete/impresora con función correcta; anticipa la Unidad 1 (el estudiante que solo nombra 'la CPU' para todo necesita refuerzo de vocabulario).</w:t>
      </w:r>
    </w:p>
    <w:p>
      <w:pPr>
        <w:spacing w:before="0" w:after="60"/>
        <w:ind w:left="170"/>
        <w:jc w:val="both"/>
      </w:pPr>
      <w:r>
        <w:rPr>
          <w:b w:val="0"/>
          <w:i w:val="0"/>
          <w:sz w:val="20"/>
        </w:rPr>
        <w:t>• Consigna 2: hardware = lo físico, software = los programas; una confusión acá pide reforzar la base antes de la clase 3.</w:t>
      </w:r>
    </w:p>
    <w:p>
      <w:pPr>
        <w:spacing w:before="0" w:after="60"/>
        <w:ind w:left="170"/>
        <w:jc w:val="both"/>
      </w:pPr>
      <w:r>
        <w:rPr>
          <w:b w:val="0"/>
          <w:i w:val="0"/>
          <w:sz w:val="20"/>
        </w:rPr>
        <w:t>• Consigna 3: bit &lt; byte &lt; megabyte &lt; gigabyte; errores anticipan dificultades con capacidades de discos y memorias (clases 7-9).</w:t>
      </w:r>
    </w:p>
    <w:p>
      <w:pPr>
        <w:spacing w:before="0" w:after="60"/>
        <w:ind w:left="170"/>
        <w:jc w:val="both"/>
      </w:pPr>
      <w:r>
        <w:rPr>
          <w:b w:val="0"/>
          <w:i w:val="0"/>
          <w:sz w:val="20"/>
        </w:rPr>
        <w:t>• Consigna 4: Falso — es de salida; mide la noción de flujo de datos.</w:t>
      </w:r>
    </w:p>
    <w:p>
      <w:pPr>
        <w:spacing w:before="0" w:after="60"/>
        <w:ind w:left="170"/>
        <w:jc w:val="both"/>
      </w:pPr>
      <w:r>
        <w:rPr>
          <w:b w:val="0"/>
          <w:i w:val="0"/>
          <w:sz w:val="20"/>
        </w:rPr>
        <w:t>• Consigna 5: compartir recursos/información; cualquier ejemplo válido (Wi-Fi de la casa, impresora compartida) anticipa la Unidad 2.</w:t>
      </w:r>
    </w:p>
    <w:p>
      <w:pPr>
        <w:spacing w:before="0" w:after="60"/>
        <w:ind w:left="170"/>
        <w:jc w:val="both"/>
      </w:pPr>
      <w:r>
        <w:rPr>
          <w:b w:val="0"/>
          <w:i w:val="0"/>
          <w:sz w:val="20"/>
        </w:rPr>
        <w:t>• Consigna 6: releva experiencia previa real con redes; respuestas ricas (nombre de red, contraseña, router) permiten armar parejas de apoyo en las prácticas.</w:t>
      </w:r>
    </w:p>
    <w:p>
      <w:pPr>
        <w:pStyle w:val="Ttulo1"/>
        <w:pageBreakBefore/>
      </w:pPr>
      <w:r>
        <w:t>Primera parte — Clases y prácticas</w:t>
      </w:r>
    </w:p>
    <w:p>
      <w:pPr>
        <w:pStyle w:val="Ttulo2"/>
      </w:pPr>
      <w:r>
        <w:t>Clase 1 — El gabinete de la computadora</w:t>
      </w:r>
    </w:p>
    <w:p>
      <w:pPr>
        <w:spacing w:before="0" w:after="60"/>
        <w:jc w:val="both"/>
      </w:pPr>
      <w:r>
        <w:rPr>
          <w:b/>
          <w:i w:val="0"/>
          <w:sz w:val="20"/>
        </w:rPr>
        <w:t xml:space="preserve">Opción correcta: </w:t>
      </w:r>
      <w:r>
        <w:rPr>
          <w:b w:val="0"/>
          <w:i w:val="0"/>
          <w:sz w:val="20"/>
        </w:rPr>
        <w:t>1) b · 2) c · 3) c · 4) b</w:t>
      </w:r>
    </w:p>
    <w:p>
      <w:pPr>
        <w:spacing w:before="0" w:after="60"/>
        <w:jc w:val="both"/>
      </w:pPr>
      <w:r>
        <w:rPr>
          <w:b/>
          <w:i w:val="0"/>
          <w:sz w:val="20"/>
        </w:rPr>
        <w:t xml:space="preserve">Completar: </w:t>
      </w:r>
      <w:r>
        <w:rPr>
          <w:b w:val="0"/>
          <w:i w:val="0"/>
          <w:sz w:val="20"/>
        </w:rPr>
        <w:t>5) gabinete · 6) factor / forma · 7) completa</w:t>
      </w:r>
    </w:p>
    <w:p>
      <w:pPr>
        <w:spacing w:before="0" w:after="60"/>
        <w:jc w:val="both"/>
      </w:pPr>
      <w:r>
        <w:rPr>
          <w:b/>
          <w:i w:val="0"/>
          <w:sz w:val="20"/>
        </w:rPr>
        <w:t xml:space="preserve">V-F: </w:t>
      </w:r>
      <w:r>
        <w:rPr>
          <w:b w:val="0"/>
          <w:i w:val="0"/>
          <w:sz w:val="20"/>
        </w:rPr>
        <w:t>8) F — No procesa datos: aloja, protege y ventila los componentes que sí lo hacen. 9) V 10) F — Una mala ventilación eleva la temperatura interna y acorta la vida de todos los componentes.</w:t>
      </w:r>
    </w:p>
    <w:p>
      <w:pPr>
        <w:spacing w:before="0" w:after="60"/>
        <w:ind w:left="170"/>
        <w:jc w:val="both"/>
      </w:pPr>
      <w:r>
        <w:rPr>
          <w:b w:val="0"/>
          <w:i w:val="0"/>
          <w:sz w:val="20"/>
        </w:rPr>
        <w:t>11) Orientación: Debe mencionar la compatibilidad con la placa madre y la fuente; ejemplo válido: una placa ATX no entra en una torre mini que solo admite micro-ATX y mini-ITX.</w:t>
      </w:r>
    </w:p>
    <w:p>
      <w:pPr>
        <w:spacing w:before="0" w:after="60"/>
        <w:ind w:left="170"/>
        <w:jc w:val="both"/>
      </w:pPr>
      <w:r>
        <w:rPr>
          <w:b w:val="0"/>
          <w:i w:val="0"/>
          <w:sz w:val="20"/>
        </w:rPr>
        <w:t>12) Orientación: Torre mini/SFF o todo-en-uno; advertir la menor capacidad de ampliación y la importancia de la ventilación en espacios cerrados.</w:t>
      </w:r>
    </w:p>
    <w:p>
      <w:pPr>
        <w:spacing w:before="40" w:after="100"/>
        <w:jc w:val="both"/>
      </w:pPr>
      <w:r>
        <w:rPr>
          <w:b/>
          <w:i w:val="0"/>
          <w:color w:val="2E7D32"/>
          <w:sz w:val="20"/>
        </w:rPr>
        <w:t xml:space="preserve">Práctica 1 — Resultado esperado: </w:t>
      </w:r>
      <w:r>
        <w:rPr>
          <w:b w:val="0"/>
          <w:i w:val="0"/>
          <w:sz w:val="20"/>
        </w:rPr>
        <w:t>ficha de 2×6 (o 2×7 con el desafío) con datos coherentes con msinfo32. Errores frecuentes: confundir modelo del sistema con nombre del equipo en red; registrar la RAM en MB sin convertir a GB; abrir el gabinete (no corresponde en esta materia).</w:t>
      </w:r>
    </w:p>
    <w:p>
      <w:pPr>
        <w:pStyle w:val="Ttulo2"/>
      </w:pPr>
      <w:r>
        <w:t>Clase 2 — La fuente de alimentación</w:t>
      </w:r>
    </w:p>
    <w:p>
      <w:pPr>
        <w:spacing w:before="0" w:after="60"/>
        <w:jc w:val="both"/>
      </w:pPr>
      <w:r>
        <w:rPr>
          <w:b/>
          <w:i w:val="0"/>
          <w:sz w:val="20"/>
        </w:rPr>
        <w:t xml:space="preserve">Opción correcta: </w:t>
      </w:r>
      <w:r>
        <w:rPr>
          <w:b w:val="0"/>
          <w:i w:val="0"/>
          <w:sz w:val="20"/>
        </w:rPr>
        <w:t>1) b · 2) c · 3) b · 4) a</w:t>
      </w:r>
    </w:p>
    <w:p>
      <w:pPr>
        <w:spacing w:before="0" w:after="60"/>
        <w:jc w:val="both"/>
      </w:pPr>
      <w:r>
        <w:rPr>
          <w:b/>
          <w:i w:val="0"/>
          <w:sz w:val="20"/>
        </w:rPr>
        <w:t xml:space="preserve">Completar: </w:t>
      </w:r>
      <w:r>
        <w:rPr>
          <w:b w:val="0"/>
          <w:i w:val="0"/>
          <w:sz w:val="20"/>
        </w:rPr>
        <w:t>5) 220 · 6) VSB (standby) · 7) modular</w:t>
      </w:r>
    </w:p>
    <w:p>
      <w:pPr>
        <w:spacing w:before="0" w:after="60"/>
        <w:jc w:val="both"/>
      </w:pPr>
      <w:r>
        <w:rPr>
          <w:b/>
          <w:i w:val="0"/>
          <w:sz w:val="20"/>
        </w:rPr>
        <w:t xml:space="preserve">V-F: </w:t>
      </w:r>
      <w:r>
        <w:rPr>
          <w:b w:val="0"/>
          <w:i w:val="0"/>
          <w:sz w:val="20"/>
        </w:rPr>
        <w:t>8) F — Una etiqueta comercial puede ser engañosa; 80 PLUS certifica eficiencia energética, no la potencia sostenida ni la calidad total de la fuente. Para validar la potencia se revisan especificaciones y ensayos confiables del modelo. 9) V 10) F — 12,4 V está dentro del rango 11,4–12,6 V (±5 %).</w:t>
      </w:r>
    </w:p>
    <w:p>
      <w:pPr>
        <w:spacing w:before="0" w:after="60"/>
        <w:ind w:left="170"/>
        <w:jc w:val="both"/>
      </w:pPr>
      <w:r>
        <w:rPr>
          <w:b w:val="0"/>
          <w:i w:val="0"/>
          <w:sz w:val="20"/>
        </w:rPr>
        <w:t>11) Orientación: Debe relacionar voltajes fuera de tolerancia, mala filtración de picos y potencia insuficiente con reinicios y daños en placa, discos y procesador.</w:t>
      </w:r>
    </w:p>
    <w:p>
      <w:pPr>
        <w:spacing w:before="0" w:after="60"/>
        <w:ind w:left="170"/>
        <w:jc w:val="both"/>
      </w:pPr>
      <w:r>
        <w:rPr>
          <w:b w:val="0"/>
          <w:i w:val="0"/>
          <w:sz w:val="20"/>
        </w:rPr>
        <w:t>12) Orientación: Menor desperdicio de energía y calor, con potencial reducción del consumo eléctrico. No otorgar puntaje a la afirmación «80 PLUS garantiza los watts»: la certificación evalúa eficiencia y no sustituye la verificación de potencia, protecciones y calidad del modelo.</w:t>
      </w:r>
    </w:p>
    <w:p>
      <w:pPr>
        <w:spacing w:before="40" w:after="100"/>
        <w:jc w:val="both"/>
      </w:pPr>
      <w:r>
        <w:rPr>
          <w:b/>
          <w:i w:val="0"/>
          <w:color w:val="2E7D32"/>
          <w:sz w:val="20"/>
        </w:rPr>
        <w:t xml:space="preserve">Práctica 2 — Resultado esperado: </w:t>
      </w:r>
      <w:r>
        <w:rPr>
          <w:b w:val="0"/>
          <w:i w:val="0"/>
          <w:sz w:val="20"/>
        </w:rPr>
        <w:t>tabla con rangos 11,40–12,60 / 4,75–5,25 / 3,14–3,47 / 4,75–5,25 calculados con fórmula; casos: 12,7 V en +12 → NO (supera 12,60); 4,9 V en +5 → SÍ; 3,1 V en +3,3 → NO (está por debajo de 3,14). Desafío: desvíos ≈ +5,8 %, −2,0 % y −6,1 %. Errores frecuentes: usar coma/punto decimal inconsistente; escribir los rangos a mano en vez de con fórmula; comparar la medición con el nominal y no con el rango.</w:t>
      </w:r>
    </w:p>
    <w:p>
      <w:pPr>
        <w:pStyle w:val="Ttulo2"/>
      </w:pPr>
      <w:r>
        <w:t>Clase 3 — La placa madre</w:t>
      </w:r>
    </w:p>
    <w:p>
      <w:pPr>
        <w:spacing w:before="0" w:after="60"/>
        <w:jc w:val="both"/>
      </w:pPr>
      <w:r>
        <w:rPr>
          <w:b/>
          <w:i w:val="0"/>
          <w:sz w:val="20"/>
        </w:rPr>
        <w:t xml:space="preserve">Opción correcta: </w:t>
      </w:r>
      <w:r>
        <w:rPr>
          <w:b w:val="0"/>
          <w:i w:val="0"/>
          <w:sz w:val="20"/>
        </w:rPr>
        <w:t>1) b · 2) c · 3) c · 4) b</w:t>
      </w:r>
    </w:p>
    <w:p>
      <w:pPr>
        <w:spacing w:before="0" w:after="60"/>
        <w:jc w:val="both"/>
      </w:pPr>
      <w:r>
        <w:rPr>
          <w:b/>
          <w:i w:val="0"/>
          <w:sz w:val="20"/>
        </w:rPr>
        <w:t xml:space="preserve">Completar: </w:t>
      </w:r>
      <w:r>
        <w:rPr>
          <w:b w:val="0"/>
          <w:i w:val="0"/>
          <w:sz w:val="20"/>
        </w:rPr>
        <w:t>5) buses · 6) DIMM · 7) chipset</w:t>
      </w:r>
    </w:p>
    <w:p>
      <w:pPr>
        <w:spacing w:before="0" w:after="60"/>
        <w:jc w:val="both"/>
      </w:pPr>
      <w:r>
        <w:rPr>
          <w:b/>
          <w:i w:val="0"/>
          <w:sz w:val="20"/>
        </w:rPr>
        <w:t xml:space="preserve">V-F: </w:t>
      </w:r>
      <w:r>
        <w:rPr>
          <w:b w:val="0"/>
          <w:i w:val="0"/>
          <w:sz w:val="20"/>
        </w:rPr>
        <w:t>8) F — Cada placa admite solo la familia de procesadores compatible con su zócalo y chipset. 9) V 10) V</w:t>
      </w:r>
    </w:p>
    <w:p>
      <w:pPr>
        <w:spacing w:before="0" w:after="60"/>
        <w:ind w:left="170"/>
        <w:jc w:val="both"/>
      </w:pPr>
      <w:r>
        <w:rPr>
          <w:b w:val="0"/>
          <w:i w:val="0"/>
          <w:sz w:val="20"/>
        </w:rPr>
        <w:t>11) Orientación: Porque define el procesador (zócalo), la memoria (tipo y cantidad de ranuras), el almacenamiento (SATA/M.2) y el gabinete (factor de forma). Dos ejemplos cualesquiera bien fundados.</w:t>
      </w:r>
    </w:p>
    <w:p>
      <w:pPr>
        <w:spacing w:before="0" w:after="60"/>
        <w:ind w:left="170"/>
        <w:jc w:val="both"/>
      </w:pPr>
      <w:r>
        <w:rPr>
          <w:b w:val="0"/>
          <w:i w:val="0"/>
          <w:sz w:val="20"/>
        </w:rPr>
        <w:t>12) Orientación: Compatibilidad de zócalo/chipset con el procesador previsto y disponibilidad de soporte/repuestos; también ranuras suficientes para la memoria y el disco planeados.</w:t>
      </w:r>
    </w:p>
    <w:p>
      <w:pPr>
        <w:spacing w:before="40" w:after="100"/>
        <w:jc w:val="both"/>
      </w:pPr>
      <w:r>
        <w:rPr>
          <w:b/>
          <w:i w:val="0"/>
          <w:color w:val="2E7D32"/>
          <w:sz w:val="20"/>
        </w:rPr>
        <w:t xml:space="preserve">Práctica 3 — Resultado esperado: </w:t>
      </w:r>
      <w:r>
        <w:rPr>
          <w:b w:val="0"/>
          <w:i w:val="0"/>
          <w:sz w:val="20"/>
        </w:rPr>
        <w:t>mapa con cinco dispositivos reales coherentes con el equipo y datos de placa/BIOS correctos. Errores frecuentes: copiar el nombre de la categoría en vez del dispositivo; confundir el adaptador de red cableado con el inalámbrico.</w:t>
      </w:r>
    </w:p>
    <w:p>
      <w:pPr>
        <w:pStyle w:val="Ttulo2"/>
      </w:pPr>
      <w:r>
        <w:t>Clase 4 — Slots de expansión</w:t>
      </w:r>
    </w:p>
    <w:p>
      <w:pPr>
        <w:spacing w:before="0" w:after="60"/>
        <w:jc w:val="both"/>
      </w:pPr>
      <w:r>
        <w:rPr>
          <w:b/>
          <w:i w:val="0"/>
          <w:sz w:val="20"/>
        </w:rPr>
        <w:t xml:space="preserve">Opción correcta: </w:t>
      </w:r>
      <w:r>
        <w:rPr>
          <w:b w:val="0"/>
          <w:i w:val="0"/>
          <w:sz w:val="20"/>
        </w:rPr>
        <w:t>1) b · 2) c · 3) b · 4) b</w:t>
      </w:r>
    </w:p>
    <w:p>
      <w:pPr>
        <w:spacing w:before="0" w:after="60"/>
        <w:jc w:val="both"/>
      </w:pPr>
      <w:r>
        <w:rPr>
          <w:b/>
          <w:i w:val="0"/>
          <w:sz w:val="20"/>
        </w:rPr>
        <w:t xml:space="preserve">Completar: </w:t>
      </w:r>
      <w:r>
        <w:rPr>
          <w:b w:val="0"/>
          <w:i w:val="0"/>
          <w:sz w:val="20"/>
        </w:rPr>
        <w:t>5) PCI / Express · 6) carril (lane) · 7) apagado</w:t>
      </w:r>
    </w:p>
    <w:p>
      <w:pPr>
        <w:spacing w:before="0" w:after="60"/>
        <w:jc w:val="both"/>
      </w:pPr>
      <w:r>
        <w:rPr>
          <w:b/>
          <w:i w:val="0"/>
          <w:sz w:val="20"/>
        </w:rPr>
        <w:t xml:space="preserve">V-F: </w:t>
      </w:r>
      <w:r>
        <w:rPr>
          <w:b w:val="0"/>
          <w:i w:val="0"/>
          <w:sz w:val="20"/>
        </w:rPr>
        <w:t>8) F — Las generaciones son compatibles: funciona, pero a la velocidad de la ranura más vieja. 9) V 10) V</w:t>
      </w:r>
    </w:p>
    <w:p>
      <w:pPr>
        <w:spacing w:before="0" w:after="60"/>
        <w:ind w:left="170"/>
        <w:jc w:val="both"/>
      </w:pPr>
      <w:r>
        <w:rPr>
          <w:b w:val="0"/>
          <w:i w:val="0"/>
          <w:sz w:val="20"/>
        </w:rPr>
        <w:t>11) Orientación: Debe relacionar el volumen de datos gráficos (resolución, cuadros por segundo) con el ancho de banda: 16 carriles en paralelo frente al carril único que le alcanza al sonido.</w:t>
      </w:r>
    </w:p>
    <w:p>
      <w:pPr>
        <w:spacing w:before="0" w:after="60"/>
        <w:ind w:left="170"/>
        <w:jc w:val="both"/>
      </w:pPr>
      <w:r>
        <w:rPr>
          <w:b w:val="0"/>
          <w:i w:val="0"/>
          <w:sz w:val="20"/>
        </w:rPr>
        <w:t>12) Orientación: Tarjeta mal asentada (seguro sin encastrar), ranura o contactos sucios, falta del conector de energía adicional de la tarjeta; dos causas razonables valen.</w:t>
      </w:r>
    </w:p>
    <w:p>
      <w:pPr>
        <w:spacing w:before="40" w:after="100"/>
        <w:jc w:val="both"/>
      </w:pPr>
      <w:r>
        <w:rPr>
          <w:b/>
          <w:i w:val="0"/>
          <w:color w:val="2E7D32"/>
          <w:sz w:val="20"/>
        </w:rPr>
        <w:t xml:space="preserve">Práctica 4 — Resultado esperado: </w:t>
      </w:r>
      <w:r>
        <w:rPr>
          <w:b w:val="0"/>
          <w:i w:val="0"/>
          <w:sz w:val="20"/>
        </w:rPr>
        <w:t>PCIe 3.0 → 1 / 2 / 8 / 16 GB/s y PCIe 5.0 → 4 / 8 / 32 / 64 GB/s para x1, x2, x8 y x16, con fórmulas que usan referencias absolutas ($F$1, $F$2); gráfico de columnas agrupadas con las dos series; adaptadores del equipo bien identificados. Desafío: PCIe 4.0 → 2 / 4 / 16 / 32 GB/s; la 4.0 necesita la mitad de carriles que la 3.0 para el mismo ancho de banda. Errores frecuentes: escribir los totales a mano; olvidar los signos $ al arrastrar la fórmula.</w:t>
      </w:r>
    </w:p>
    <w:p>
      <w:pPr>
        <w:pStyle w:val="Ttulo2"/>
      </w:pPr>
      <w:r>
        <w:t>Clase 5 — Puertos de conexión</w:t>
      </w:r>
    </w:p>
    <w:p>
      <w:pPr>
        <w:spacing w:before="0" w:after="60"/>
        <w:jc w:val="both"/>
      </w:pPr>
      <w:r>
        <w:rPr>
          <w:b/>
          <w:i w:val="0"/>
          <w:sz w:val="20"/>
        </w:rPr>
        <w:t xml:space="preserve">Opción correcta: </w:t>
      </w:r>
      <w:r>
        <w:rPr>
          <w:b w:val="0"/>
          <w:i w:val="0"/>
          <w:sz w:val="20"/>
        </w:rPr>
        <w:t>1) b · 2) c · 3) a · 4) b</w:t>
      </w:r>
    </w:p>
    <w:p>
      <w:pPr>
        <w:spacing w:before="0" w:after="60"/>
        <w:jc w:val="both"/>
      </w:pPr>
      <w:r>
        <w:rPr>
          <w:b/>
          <w:i w:val="0"/>
          <w:sz w:val="20"/>
        </w:rPr>
        <w:t xml:space="preserve">Completar: </w:t>
      </w:r>
      <w:r>
        <w:rPr>
          <w:b w:val="0"/>
          <w:i w:val="0"/>
          <w:sz w:val="20"/>
        </w:rPr>
        <w:t>5) VGA · 6) Universal · 7) salida</w:t>
      </w:r>
    </w:p>
    <w:p>
      <w:pPr>
        <w:spacing w:before="0" w:after="60"/>
        <w:jc w:val="both"/>
      </w:pPr>
      <w:r>
        <w:rPr>
          <w:b/>
          <w:i w:val="0"/>
          <w:sz w:val="20"/>
        </w:rPr>
        <w:t xml:space="preserve">V-F: </w:t>
      </w:r>
      <w:r>
        <w:rPr>
          <w:b w:val="0"/>
          <w:i w:val="0"/>
          <w:sz w:val="20"/>
        </w:rPr>
        <w:t>8) V 9) F — USB 2.0 llega a 480 Mb/s; USB 3.2 va de 5 a 20 Gb/s: es mucho más rápido. 10) F — Se parecen, pero el RJ-45 es más ancho y tiene 8 contactos.</w:t>
      </w:r>
    </w:p>
    <w:p>
      <w:pPr>
        <w:spacing w:before="0" w:after="60"/>
        <w:ind w:left="170"/>
        <w:jc w:val="both"/>
      </w:pPr>
      <w:r>
        <w:rPr>
          <w:b w:val="0"/>
          <w:i w:val="0"/>
          <w:sz w:val="20"/>
        </w:rPr>
        <w:t>11) Orientación: Adaptador/conversor activo VGA a HDMI, agregar una tarjeta de video con HDMI, o renovar el equipo; debe comparar costo y limitaciones.</w:t>
      </w:r>
    </w:p>
    <w:p>
      <w:pPr>
        <w:spacing w:before="0" w:after="60"/>
        <w:ind w:left="170"/>
        <w:jc w:val="both"/>
      </w:pPr>
      <w:r>
        <w:rPr>
          <w:b w:val="0"/>
          <w:i w:val="0"/>
          <w:sz w:val="20"/>
        </w:rPr>
        <w:t>12) Orientación: Estabilidad y menor latencia del medio cableado, menos interferencias y cortes; el Wi-Fi se reserva para donde no llega el cable.</w:t>
      </w:r>
    </w:p>
    <w:p>
      <w:pPr>
        <w:spacing w:before="40" w:after="100"/>
        <w:jc w:val="both"/>
      </w:pPr>
      <w:r>
        <w:rPr>
          <w:b/>
          <w:i w:val="0"/>
          <w:color w:val="2E7D32"/>
          <w:sz w:val="20"/>
        </w:rPr>
        <w:t xml:space="preserve">Práctica 5 — Resultado esperado: </w:t>
      </w:r>
      <w:r>
        <w:rPr>
          <w:b w:val="0"/>
          <w:i w:val="0"/>
          <w:sz w:val="20"/>
        </w:rPr>
        <w:t>inventario coherente con el equipo del laboratorio (típico: USB-A frontales y traseros, HDMI o VGA, RJ-45, jacks de audio) y TOTAL con =SUMA. Errores frecuentes: contar dos veces los puertos ocupados; escribir el total a mano.</w:t>
      </w:r>
    </w:p>
    <w:p>
      <w:pPr>
        <w:pStyle w:val="Ttulo2"/>
      </w:pPr>
      <w:r>
        <w:t>Clase 6 — El microprocesador</w:t>
      </w:r>
    </w:p>
    <w:p>
      <w:pPr>
        <w:spacing w:before="0" w:after="60"/>
        <w:jc w:val="both"/>
      </w:pPr>
      <w:r>
        <w:rPr>
          <w:b/>
          <w:i w:val="0"/>
          <w:sz w:val="20"/>
        </w:rPr>
        <w:t xml:space="preserve">Opción correcta: </w:t>
      </w:r>
      <w:r>
        <w:rPr>
          <w:b w:val="0"/>
          <w:i w:val="0"/>
          <w:sz w:val="20"/>
        </w:rPr>
        <w:t>1) b · 2) b · 3) c · 4) b</w:t>
      </w:r>
    </w:p>
    <w:p>
      <w:pPr>
        <w:spacing w:before="0" w:after="60"/>
        <w:jc w:val="both"/>
      </w:pPr>
      <w:r>
        <w:rPr>
          <w:b/>
          <w:i w:val="0"/>
          <w:sz w:val="20"/>
        </w:rPr>
        <w:t xml:space="preserve">Completar: </w:t>
      </w:r>
      <w:r>
        <w:rPr>
          <w:b w:val="0"/>
          <w:i w:val="0"/>
          <w:sz w:val="20"/>
        </w:rPr>
        <w:t>5) central / proceso · 6) gigahertz · 7) TDP</w:t>
      </w:r>
    </w:p>
    <w:p>
      <w:pPr>
        <w:spacing w:before="0" w:after="60"/>
        <w:jc w:val="both"/>
      </w:pPr>
      <w:r>
        <w:rPr>
          <w:b/>
          <w:i w:val="0"/>
          <w:sz w:val="20"/>
        </w:rPr>
        <w:t xml:space="preserve">V-F: </w:t>
      </w:r>
      <w:r>
        <w:rPr>
          <w:b w:val="0"/>
          <w:i w:val="0"/>
          <w:sz w:val="20"/>
        </w:rPr>
        <w:t>8) F — El rendimiento depende también de núcleos, generación y caché; un chip nuevo a menos GHz puede rendir más. 9) V 10) F — Se sobrecalienta en segundos: el disipador con pasta térmica es obligatorio.</w:t>
      </w:r>
    </w:p>
    <w:p>
      <w:pPr>
        <w:spacing w:before="0" w:after="60"/>
        <w:ind w:left="170"/>
        <w:jc w:val="both"/>
      </w:pPr>
      <w:r>
        <w:rPr>
          <w:b w:val="0"/>
          <w:i w:val="0"/>
          <w:sz w:val="20"/>
        </w:rPr>
        <w:t>11) Orientación: Subir GHz indefinidamente genera calor y consumo inmanejables; varios núcleos reparten tareas en paralelo y rinden más con menos calor.</w:t>
      </w:r>
    </w:p>
    <w:p>
      <w:pPr>
        <w:spacing w:before="0" w:after="60"/>
        <w:ind w:left="170"/>
        <w:jc w:val="both"/>
      </w:pPr>
      <w:r>
        <w:rPr>
          <w:b w:val="0"/>
          <w:i w:val="0"/>
          <w:sz w:val="20"/>
        </w:rPr>
        <w:t>12) Orientación: Gama media actual (4-6 núcleos), justificando por núcleos/hilos para multitarea y generación reciente; frecuencia y caché como apoyo.</w:t>
      </w:r>
    </w:p>
    <w:p>
      <w:pPr>
        <w:spacing w:before="40" w:after="100"/>
        <w:jc w:val="both"/>
      </w:pPr>
      <w:r>
        <w:rPr>
          <w:b/>
          <w:i w:val="0"/>
          <w:color w:val="2E7D32"/>
          <w:sz w:val="20"/>
        </w:rPr>
        <w:t xml:space="preserve">Práctica 6 — Resultado esperado: </w:t>
      </w:r>
      <w:r>
        <w:rPr>
          <w:b w:val="0"/>
          <w:i w:val="0"/>
          <w:sz w:val="20"/>
        </w:rPr>
        <w:t>datos del equipo coherentes con el Administrador de tareas y comparativa con G./núcleo calculado por fórmula. Errores frecuentes: confundir procesadores lógicos con núcleos; dividir precio entre hilos en vez de núcleos sin aclararlo.</w:t>
      </w:r>
    </w:p>
    <w:p>
      <w:pPr>
        <w:pStyle w:val="Ttulo2"/>
      </w:pPr>
      <w:r>
        <w:t>Clase 7 — Las memorias</w:t>
      </w:r>
    </w:p>
    <w:p>
      <w:pPr>
        <w:spacing w:before="0" w:after="60"/>
        <w:jc w:val="both"/>
      </w:pPr>
      <w:r>
        <w:rPr>
          <w:b/>
          <w:i w:val="0"/>
          <w:sz w:val="20"/>
        </w:rPr>
        <w:t xml:space="preserve">Opción correcta: </w:t>
      </w:r>
      <w:r>
        <w:rPr>
          <w:b w:val="0"/>
          <w:i w:val="0"/>
          <w:sz w:val="20"/>
        </w:rPr>
        <w:t>1) c · 2) b · 3) b · 4) b</w:t>
      </w:r>
    </w:p>
    <w:p>
      <w:pPr>
        <w:spacing w:before="0" w:after="60"/>
        <w:jc w:val="both"/>
      </w:pPr>
      <w:r>
        <w:rPr>
          <w:b/>
          <w:i w:val="0"/>
          <w:sz w:val="20"/>
        </w:rPr>
        <w:t xml:space="preserve">Completar: </w:t>
      </w:r>
      <w:r>
        <w:rPr>
          <w:b w:val="0"/>
          <w:i w:val="0"/>
          <w:sz w:val="20"/>
        </w:rPr>
        <w:t>5) caché · 6) SO · 7) firmware (UEFI/BIOS)</w:t>
      </w:r>
    </w:p>
    <w:p>
      <w:pPr>
        <w:spacing w:before="0" w:after="60"/>
        <w:jc w:val="both"/>
      </w:pPr>
      <w:r>
        <w:rPr>
          <w:b/>
          <w:i w:val="0"/>
          <w:sz w:val="20"/>
        </w:rPr>
        <w:t xml:space="preserve">V-F: </w:t>
      </w:r>
      <w:r>
        <w:rPr>
          <w:b w:val="0"/>
          <w:i w:val="0"/>
          <w:sz w:val="20"/>
        </w:rPr>
        <w:t>8) V 9) F — Es al revés: la jerarquía es más rápida cuanto más cerca de la CPU (caché &gt; RAM &gt; almacenamiento). 10) V</w:t>
      </w:r>
    </w:p>
    <w:p>
      <w:pPr>
        <w:spacing w:before="0" w:after="60"/>
        <w:ind w:left="170"/>
        <w:jc w:val="both"/>
      </w:pPr>
      <w:r>
        <w:rPr>
          <w:b w:val="0"/>
          <w:i w:val="0"/>
          <w:sz w:val="20"/>
        </w:rPr>
        <w:t>11) Orientación: La RAM se llena y el sistema recurre al almacenamiento (mucho más lento) como memoria auxiliar; la solución razonable es ampliar RAM verificando tipo, ranuras y máximo de la placa.</w:t>
      </w:r>
    </w:p>
    <w:p>
      <w:pPr>
        <w:spacing w:before="0" w:after="60"/>
        <w:ind w:left="170"/>
        <w:jc w:val="both"/>
      </w:pPr>
      <w:r>
        <w:rPr>
          <w:b w:val="0"/>
          <w:i w:val="0"/>
          <w:sz w:val="20"/>
        </w:rPr>
        <w:t>12) Orientación: Ventaja: doble canal (casi duplica el ancho de banda). Desventaja: ocupa ambas ranuras y una ampliación futura obliga a reemplazar módulos.</w:t>
      </w:r>
    </w:p>
    <w:p>
      <w:pPr>
        <w:spacing w:before="40" w:after="100"/>
        <w:jc w:val="both"/>
      </w:pPr>
      <w:r>
        <w:rPr>
          <w:b/>
          <w:i w:val="0"/>
          <w:color w:val="2E7D32"/>
          <w:sz w:val="20"/>
        </w:rPr>
        <w:t xml:space="preserve">Práctica 7 — Resultado esperado: </w:t>
      </w:r>
      <w:r>
        <w:rPr>
          <w:b w:val="0"/>
          <w:i w:val="0"/>
          <w:sz w:val="20"/>
        </w:rPr>
        <w:t>lectura coherente con el equipo (capacidad, uso, velocidad y ranuras) y presupuesto con =SUMA y moneda en guaraníes. La compatibilidad del módulo debe justificarse con fabricante/modelo del equipo o placa y su especificación de memoria; la velocidad observada no basta para identificar DDR3/DDR4/DDR5. Errores frecuentes: confundir Disponible con Total; inferir la generación DDR solo por MHz/MT/s; proponer un módulo incompatible.</w:t>
      </w:r>
    </w:p>
    <w:p>
      <w:pPr>
        <w:pStyle w:val="Ttulo2"/>
      </w:pPr>
      <w:r>
        <w:t>Clase 8 — Almacenamiento: discos duros y SSD</w:t>
      </w:r>
    </w:p>
    <w:p>
      <w:pPr>
        <w:spacing w:before="0" w:after="60"/>
        <w:jc w:val="both"/>
      </w:pPr>
      <w:r>
        <w:rPr>
          <w:b/>
          <w:i w:val="0"/>
          <w:sz w:val="20"/>
        </w:rPr>
        <w:t xml:space="preserve">Opción correcta: </w:t>
      </w:r>
      <w:r>
        <w:rPr>
          <w:b w:val="0"/>
          <w:i w:val="0"/>
          <w:sz w:val="20"/>
        </w:rPr>
        <w:t>1) b · 2) b · 3) b · 4) b</w:t>
      </w:r>
    </w:p>
    <w:p>
      <w:pPr>
        <w:spacing w:before="0" w:after="60"/>
        <w:jc w:val="both"/>
      </w:pPr>
      <w:r>
        <w:rPr>
          <w:b/>
          <w:i w:val="0"/>
          <w:sz w:val="20"/>
        </w:rPr>
        <w:t xml:space="preserve">Completar: </w:t>
      </w:r>
      <w:r>
        <w:rPr>
          <w:b w:val="0"/>
          <w:i w:val="0"/>
          <w:sz w:val="20"/>
        </w:rPr>
        <w:t>5) 7.200 · 6) flash · 7) HDD</w:t>
      </w:r>
    </w:p>
    <w:p>
      <w:pPr>
        <w:spacing w:before="0" w:after="60"/>
        <w:jc w:val="both"/>
      </w:pPr>
      <w:r>
        <w:rPr>
          <w:b/>
          <w:i w:val="0"/>
          <w:sz w:val="20"/>
        </w:rPr>
        <w:t xml:space="preserve">V-F: </w:t>
      </w:r>
      <w:r>
        <w:rPr>
          <w:b w:val="0"/>
          <w:i w:val="0"/>
          <w:sz w:val="20"/>
        </w:rPr>
        <w:t>8) F — Es al revés: al no tener partes móviles, el SSD resiste mejor los golpes. 9) V 10) F — Es memoria permanente: conserva los datos sin energía; la que se borra es la RAM.</w:t>
      </w:r>
    </w:p>
    <w:p>
      <w:pPr>
        <w:spacing w:before="0" w:after="60"/>
        <w:ind w:left="170"/>
        <w:jc w:val="both"/>
      </w:pPr>
      <w:r>
        <w:rPr>
          <w:b w:val="0"/>
          <w:i w:val="0"/>
          <w:sz w:val="20"/>
        </w:rPr>
        <w:t>11) Orientación: SSD (NVMe) para sistema y programas + HDD de gran capacidad para el archivo histórico; puede sumar respaldo externo. Justificar velocidad/costo por GB.</w:t>
      </w:r>
    </w:p>
    <w:p>
      <w:pPr>
        <w:spacing w:before="0" w:after="60"/>
        <w:ind w:left="170"/>
        <w:jc w:val="both"/>
      </w:pPr>
      <w:r>
        <w:rPr>
          <w:b w:val="0"/>
          <w:i w:val="0"/>
          <w:sz w:val="20"/>
        </w:rPr>
        <w:t>12) Orientación: El almacenamiento es el eslabón lento de la jerarquía: si tarda en entregar datos, la CPU espera; el arranque y la carga de programas dependen de él.</w:t>
      </w:r>
    </w:p>
    <w:p>
      <w:pPr>
        <w:spacing w:before="40" w:after="100"/>
        <w:jc w:val="both"/>
      </w:pPr>
      <w:r>
        <w:rPr>
          <w:b/>
          <w:i w:val="0"/>
          <w:color w:val="2E7D32"/>
          <w:sz w:val="20"/>
        </w:rPr>
        <w:t xml:space="preserve">Práctica 8 — Resultado esperado: </w:t>
      </w:r>
      <w:r>
        <w:rPr>
          <w:b w:val="0"/>
          <w:i w:val="0"/>
          <w:sz w:val="20"/>
        </w:rPr>
        <w:t>tabla coherente con el equipo; el tipo de medio debe coincidir con lo que informa el Optimizador. Errores frecuentes: confundir espacio usado con libre; ejecutar Optimizar en vez de Analizar sin indicación del docente.</w:t>
      </w:r>
    </w:p>
    <w:p>
      <w:pPr>
        <w:pStyle w:val="Ttulo2"/>
      </w:pPr>
      <w:r>
        <w:t>Clase 9 — Lectoras de CD, DVD y Blu-ray</w:t>
      </w:r>
    </w:p>
    <w:p>
      <w:pPr>
        <w:spacing w:before="0" w:after="60"/>
        <w:jc w:val="both"/>
      </w:pPr>
      <w:r>
        <w:rPr>
          <w:b/>
          <w:i w:val="0"/>
          <w:sz w:val="20"/>
        </w:rPr>
        <w:t xml:space="preserve">Opción correcta: </w:t>
      </w:r>
      <w:r>
        <w:rPr>
          <w:b w:val="0"/>
          <w:i w:val="0"/>
          <w:sz w:val="20"/>
        </w:rPr>
        <w:t>1) b · 2) c · 3) c · 4) b</w:t>
      </w:r>
    </w:p>
    <w:p>
      <w:pPr>
        <w:spacing w:before="0" w:after="60"/>
        <w:jc w:val="both"/>
      </w:pPr>
      <w:r>
        <w:rPr>
          <w:b/>
          <w:i w:val="0"/>
          <w:sz w:val="20"/>
        </w:rPr>
        <w:t xml:space="preserve">Completar: </w:t>
      </w:r>
      <w:r>
        <w:rPr>
          <w:b w:val="0"/>
          <w:i w:val="0"/>
          <w:sz w:val="20"/>
        </w:rPr>
        <w:t>5) azul · 6) R · 7) 150</w:t>
      </w:r>
    </w:p>
    <w:p>
      <w:pPr>
        <w:spacing w:before="0" w:after="60"/>
        <w:jc w:val="both"/>
      </w:pPr>
      <w:r>
        <w:rPr>
          <w:b/>
          <w:i w:val="0"/>
          <w:sz w:val="20"/>
        </w:rPr>
        <w:t xml:space="preserve">V-F: </w:t>
      </w:r>
      <w:r>
        <w:rPr>
          <w:b w:val="0"/>
          <w:i w:val="0"/>
          <w:sz w:val="20"/>
        </w:rPr>
        <w:t>8) F — La 'x' no se compara entre formatos: DVD 16x ≈ 22,2 MB/s supera a CD 52x ≈ 7,8 MB/s. 9) V 10) F — Se registra como marcas físicas que un láser lee; lo magnético es el disco duro.</w:t>
      </w:r>
    </w:p>
    <w:p>
      <w:pPr>
        <w:spacing w:before="0" w:after="60"/>
        <w:ind w:left="170"/>
        <w:jc w:val="both"/>
      </w:pPr>
      <w:r>
        <w:rPr>
          <w:b w:val="0"/>
          <w:i w:val="0"/>
          <w:sz w:val="20"/>
        </w:rPr>
        <w:t>11) Orientación: 1) Leerlos con unidad (externa USB) verificando cada disco; 2) migrar el contenido a almacenamiento moderno con estructura de carpetas y respaldo; 3) verificar la copia y recomendar política de respaldo futura.</w:t>
      </w:r>
    </w:p>
    <w:p>
      <w:pPr>
        <w:spacing w:before="0" w:after="60"/>
        <w:ind w:left="170"/>
        <w:jc w:val="both"/>
      </w:pPr>
      <w:r>
        <w:rPr>
          <w:b w:val="0"/>
          <w:i w:val="0"/>
          <w:sz w:val="20"/>
        </w:rPr>
        <w:t>12) Orientación: Marcas más pequeñas y pistas más juntas caben en la misma superficie: más datos por disco (CD→DVD→Blu-ray).</w:t>
      </w:r>
    </w:p>
    <w:p>
      <w:pPr>
        <w:spacing w:before="0" w:after="60"/>
        <w:jc w:val="both"/>
      </w:pPr>
      <w:r>
        <w:rPr>
          <w:b w:val="0"/>
          <w:i w:val="0"/>
          <w:sz w:val="20"/>
        </w:rPr>
        <w:t>Práctica 9 — Resultado esperado (61 GB, unidades decimales): CD 88 discos y ≈ 2,2 h; DVD 13 discos y ≈ 0,8 h; Blu-ray 3 discos y ≈ 0,5 h, con REDONDEAR.MAS y fórmulas; diapositiva con la tabla pegada. Errores frecuentes: mezclar GB decimales con el factor 1.024; redondear discos hacia abajo.</w:t>
      </w:r>
    </w:p>
    <w:p>
      <w:pPr>
        <w:pStyle w:val="Ttulo2"/>
      </w:pPr>
      <w:r>
        <w:t>Clase 10 — Impresoras</w:t>
      </w:r>
    </w:p>
    <w:p>
      <w:pPr>
        <w:spacing w:before="0" w:after="60"/>
        <w:jc w:val="both"/>
      </w:pPr>
      <w:r>
        <w:rPr>
          <w:b/>
          <w:i w:val="0"/>
          <w:sz w:val="20"/>
        </w:rPr>
        <w:t xml:space="preserve">Opción correcta: </w:t>
      </w:r>
      <w:r>
        <w:rPr>
          <w:b w:val="0"/>
          <w:i w:val="0"/>
          <w:sz w:val="20"/>
        </w:rPr>
        <w:t>1) c · 2) b · 3) b · 4) b</w:t>
      </w:r>
    </w:p>
    <w:p>
      <w:pPr>
        <w:spacing w:before="0" w:after="60"/>
        <w:jc w:val="both"/>
      </w:pPr>
      <w:r>
        <w:rPr>
          <w:b/>
          <w:i w:val="0"/>
          <w:sz w:val="20"/>
        </w:rPr>
        <w:t xml:space="preserve">Completar: </w:t>
      </w:r>
      <w:r>
        <w:rPr>
          <w:b w:val="0"/>
          <w:i w:val="0"/>
          <w:sz w:val="20"/>
        </w:rPr>
        <w:t>5) dpi · 6) multifunción · 7) térmica</w:t>
      </w:r>
    </w:p>
    <w:p>
      <w:pPr>
        <w:spacing w:before="0" w:after="60"/>
        <w:jc w:val="both"/>
      </w:pPr>
      <w:r>
        <w:rPr>
          <w:b/>
          <w:i w:val="0"/>
          <w:sz w:val="20"/>
        </w:rPr>
        <w:t xml:space="preserve">V-F: </w:t>
      </w:r>
      <w:r>
        <w:rPr>
          <w:b w:val="0"/>
          <w:i w:val="0"/>
          <w:sz w:val="20"/>
        </w:rPr>
        <w:t>8) F — El costo real está en los insumos: se compara el costo por página y el ciclo mensual. 9) V 10) F — No usa tinta: imprime por calor sobre papel térmico.</w:t>
      </w:r>
    </w:p>
    <w:p>
      <w:pPr>
        <w:spacing w:before="0" w:after="60"/>
        <w:ind w:left="170"/>
        <w:jc w:val="both"/>
      </w:pPr>
      <w:r>
        <w:rPr>
          <w:b w:val="0"/>
          <w:i w:val="0"/>
          <w:sz w:val="20"/>
        </w:rPr>
        <w:t>11) Orientación: Térmica para tickets (velocidad, sin tinta) + matriz de punto para el papel químico autocopiativo; justificar por insumo y uso.</w:t>
      </w:r>
    </w:p>
    <w:p>
      <w:pPr>
        <w:spacing w:before="0" w:after="60"/>
        <w:ind w:left="170"/>
        <w:jc w:val="both"/>
      </w:pPr>
      <w:r>
        <w:rPr>
          <w:b w:val="0"/>
          <w:i w:val="0"/>
          <w:sz w:val="20"/>
        </w:rPr>
        <w:t>12) Orientación: Ejemplo válido: cartucho de G. 250.000 que rinde 200 páginas = G. 1.250/pág. contra tóner de G. 600.000 que rinde 3.000 = G. 200/pág.</w:t>
      </w:r>
    </w:p>
    <w:p>
      <w:pPr>
        <w:spacing w:before="40" w:after="100"/>
        <w:jc w:val="both"/>
      </w:pPr>
      <w:r>
        <w:rPr>
          <w:b/>
          <w:i w:val="0"/>
          <w:color w:val="2E7D32"/>
          <w:sz w:val="20"/>
        </w:rPr>
        <w:t xml:space="preserve">Práctica 10 — Resultado esperado: </w:t>
      </w:r>
      <w:r>
        <w:rPr>
          <w:b w:val="0"/>
          <w:i w:val="0"/>
          <w:sz w:val="20"/>
        </w:rPr>
        <w:t>costo por página G. 700 (inyección) vs. G. 200 (láser); costo mensual de 1.200 páginas G. 840.000 vs. G. 240.000; la láser conviene. Desafío: recupera la diferencia de equipos en 800.000 ÷ 600.000 ≈ 1,3 meses. Errores frecuentes: invertir la división del costo por página; olvidar el formato de moneda.</w:t>
      </w:r>
    </w:p>
    <w:p>
      <w:pPr>
        <w:pStyle w:val="Ttulo2"/>
      </w:pPr>
      <w:r>
        <w:t>Clase 11 — La red de computadoras</w:t>
      </w:r>
    </w:p>
    <w:p>
      <w:pPr>
        <w:spacing w:before="0" w:after="60"/>
        <w:jc w:val="both"/>
      </w:pPr>
      <w:r>
        <w:rPr>
          <w:b/>
          <w:i w:val="0"/>
          <w:sz w:val="20"/>
        </w:rPr>
        <w:t xml:space="preserve">Opción correcta: </w:t>
      </w:r>
      <w:r>
        <w:rPr>
          <w:b w:val="0"/>
          <w:i w:val="0"/>
          <w:sz w:val="20"/>
        </w:rPr>
        <w:t>1) b · 2) b · 3) b · 4) b</w:t>
      </w:r>
    </w:p>
    <w:p>
      <w:pPr>
        <w:spacing w:before="0" w:after="60"/>
        <w:jc w:val="both"/>
      </w:pPr>
      <w:r>
        <w:rPr>
          <w:b/>
          <w:i w:val="0"/>
          <w:sz w:val="20"/>
        </w:rPr>
        <w:t xml:space="preserve">Completar: </w:t>
      </w:r>
      <w:r>
        <w:rPr>
          <w:b w:val="0"/>
          <w:i w:val="0"/>
          <w:sz w:val="20"/>
        </w:rPr>
        <w:t>5) pares · 6) medio · 7) cliente / servidor</w:t>
      </w:r>
    </w:p>
    <w:p>
      <w:pPr>
        <w:spacing w:before="0" w:after="60"/>
        <w:jc w:val="both"/>
      </w:pPr>
      <w:r>
        <w:rPr>
          <w:b/>
          <w:i w:val="0"/>
          <w:sz w:val="20"/>
        </w:rPr>
        <w:t xml:space="preserve">V-F: </w:t>
      </w:r>
      <w:r>
        <w:rPr>
          <w:b w:val="0"/>
          <w:i w:val="0"/>
          <w:sz w:val="20"/>
        </w:rPr>
        <w:t>8) F — Sin protocolo común no hay comunicación posible: el protocolo es constitutivo de la red. 9) V 10) F — También comparten archivos, impresoras y respaldos dentro de la propia red local.</w:t>
      </w:r>
    </w:p>
    <w:p>
      <w:pPr>
        <w:spacing w:before="0" w:after="60"/>
        <w:ind w:left="170"/>
        <w:jc w:val="both"/>
      </w:pPr>
      <w:r>
        <w:rPr>
          <w:b w:val="0"/>
          <w:i w:val="0"/>
          <w:sz w:val="20"/>
        </w:rPr>
        <w:t>11) Orientación: Compartir una sola impresora, carpeta común/respaldo centralizado, administración y cobro centralizados, una única salida a internet controlada; tres cualesquiera bien explicados.</w:t>
      </w:r>
    </w:p>
    <w:p>
      <w:pPr>
        <w:spacing w:before="0" w:after="60"/>
        <w:ind w:left="170"/>
        <w:jc w:val="both"/>
      </w:pPr>
      <w:r>
        <w:rPr>
          <w:b w:val="0"/>
          <w:i w:val="0"/>
          <w:sz w:val="20"/>
        </w:rPr>
        <w:t>12) Orientación: Administración y seguridad centralizadas, control de usuarios y permisos, respaldo único, escala mejor con muchos equipos.</w:t>
      </w:r>
    </w:p>
    <w:p>
      <w:pPr>
        <w:spacing w:before="40" w:after="100"/>
        <w:jc w:val="both"/>
      </w:pPr>
      <w:r>
        <w:rPr>
          <w:b/>
          <w:i w:val="0"/>
          <w:color w:val="2E7D32"/>
          <w:sz w:val="20"/>
        </w:rPr>
        <w:t xml:space="preserve">Práctica 11 — Resultado esperado: </w:t>
      </w:r>
      <w:r>
        <w:rPr>
          <w:b w:val="0"/>
          <w:i w:val="0"/>
          <w:sz w:val="20"/>
        </w:rPr>
        <w:t>tabla coherente con la red real del laboratorio y párrafo con recursos compartidos verificables. Errores frecuentes: confundir el nombre del equipo con el nombre de la red; escribir 'internet' como único recurso compartido.</w:t>
      </w:r>
    </w:p>
    <w:p>
      <w:pPr>
        <w:pStyle w:val="Ttulo2"/>
      </w:pPr>
      <w:r>
        <w:t>Clase 12 — Protocolos y estándares</w:t>
      </w:r>
    </w:p>
    <w:p>
      <w:pPr>
        <w:spacing w:before="0" w:after="60"/>
        <w:jc w:val="both"/>
      </w:pPr>
      <w:r>
        <w:rPr>
          <w:b/>
          <w:i w:val="0"/>
          <w:sz w:val="20"/>
        </w:rPr>
        <w:t xml:space="preserve">Opción correcta: </w:t>
      </w:r>
      <w:r>
        <w:rPr>
          <w:b w:val="0"/>
          <w:i w:val="0"/>
          <w:sz w:val="20"/>
        </w:rPr>
        <w:t>1) b · 2) a · 3) b · 4) b</w:t>
      </w:r>
    </w:p>
    <w:p>
      <w:pPr>
        <w:spacing w:before="0" w:after="60"/>
        <w:jc w:val="both"/>
      </w:pPr>
      <w:r>
        <w:rPr>
          <w:b/>
          <w:i w:val="0"/>
          <w:sz w:val="20"/>
        </w:rPr>
        <w:t xml:space="preserve">Completar: </w:t>
      </w:r>
      <w:r>
        <w:rPr>
          <w:b w:val="0"/>
          <w:i w:val="0"/>
          <w:sz w:val="20"/>
        </w:rPr>
        <w:t>5) DHCP · 6) máscara · 7) cifrada</w:t>
      </w:r>
    </w:p>
    <w:p>
      <w:pPr>
        <w:spacing w:before="0" w:after="60"/>
        <w:jc w:val="both"/>
      </w:pPr>
      <w:r>
        <w:rPr>
          <w:b/>
          <w:i w:val="0"/>
          <w:sz w:val="20"/>
        </w:rPr>
        <w:t xml:space="preserve">V-F: </w:t>
      </w:r>
      <w:r>
        <w:rPr>
          <w:b w:val="0"/>
          <w:i w:val="0"/>
          <w:sz w:val="20"/>
        </w:rPr>
        <w:t>8) V 9) F — Son privadas: se usan dentro de redes locales y el router las traduce hacia afuera. 10) F — Para entrega completa y en orden corresponde TCP; UDP sirve donde la velocidad importa más que la garantía.</w:t>
      </w:r>
    </w:p>
    <w:p>
      <w:pPr>
        <w:spacing w:before="0" w:after="60"/>
        <w:ind w:left="170"/>
        <w:jc w:val="both"/>
      </w:pPr>
      <w:r>
        <w:rPr>
          <w:b w:val="0"/>
          <w:i w:val="0"/>
          <w:sz w:val="20"/>
        </w:rPr>
        <w:t>11) Orientación: DNS traduce el nombre a IP; IP encamina los paquetes; TCP asegura la entrega; HTTP/HTTPS transporta el contenido (HTTPS cifrado). Secuencia coherente con tres o más protocolos.</w:t>
      </w:r>
    </w:p>
    <w:p>
      <w:pPr>
        <w:spacing w:before="0" w:after="60"/>
        <w:ind w:left="170"/>
        <w:jc w:val="both"/>
      </w:pPr>
      <w:r>
        <w:rPr>
          <w:b w:val="0"/>
          <w:i w:val="0"/>
          <w:sz w:val="20"/>
        </w:rPr>
        <w:t>12) Orientación: Si la IP cambia, los equipos que la tienen configurada la 'pierden'; una dirección fija garantiza que siempre se la encuentre en el mismo lugar.</w:t>
      </w:r>
    </w:p>
    <w:p>
      <w:pPr>
        <w:spacing w:before="40" w:after="100"/>
        <w:jc w:val="both"/>
      </w:pPr>
      <w:r>
        <w:rPr>
          <w:b/>
          <w:i w:val="0"/>
          <w:color w:val="2E7D32"/>
          <w:sz w:val="20"/>
        </w:rPr>
        <w:t xml:space="preserve">Práctica 12 — Resultado esperado: </w:t>
      </w:r>
      <w:r>
        <w:rPr>
          <w:b w:val="0"/>
          <w:i w:val="0"/>
          <w:sz w:val="20"/>
        </w:rPr>
        <w:t>cinco datos coherentes e interpretaciones correctas. La pertenencia a la misma red se justifica usando IP + máscara; solo con 255.255.255.0 (/24) es válido comprobar que coincidan los tres primeros octetos. Errores frecuentes: leer el adaptador inactivo o virtual; confundir DNS con puerta de enlace; aplicar el atajo de /24 a cualquier máscara. Desafío: nslookup usa DNS.</w:t>
      </w:r>
    </w:p>
    <w:p>
      <w:pPr>
        <w:pStyle w:val="Ttulo2"/>
      </w:pPr>
      <w:r>
        <w:t>Clase 13 — Redes por alcance: LAN, MAN y WAN</w:t>
      </w:r>
    </w:p>
    <w:p>
      <w:pPr>
        <w:spacing w:before="0" w:after="60"/>
        <w:jc w:val="both"/>
      </w:pPr>
      <w:r>
        <w:rPr>
          <w:b/>
          <w:i w:val="0"/>
          <w:sz w:val="20"/>
        </w:rPr>
        <w:t xml:space="preserve">Opción correcta: </w:t>
      </w:r>
      <w:r>
        <w:rPr>
          <w:b w:val="0"/>
          <w:i w:val="0"/>
          <w:sz w:val="20"/>
        </w:rPr>
        <w:t>1) b · 2) c · 3) b · 4) b</w:t>
      </w:r>
    </w:p>
    <w:p>
      <w:pPr>
        <w:spacing w:before="0" w:after="60"/>
        <w:jc w:val="both"/>
      </w:pPr>
      <w:r>
        <w:rPr>
          <w:b/>
          <w:i w:val="0"/>
          <w:sz w:val="20"/>
        </w:rPr>
        <w:t xml:space="preserve">Completar: </w:t>
      </w:r>
      <w:r>
        <w:rPr>
          <w:b w:val="0"/>
          <w:i w:val="0"/>
          <w:sz w:val="20"/>
        </w:rPr>
        <w:t>5) local · 6) PAN · 7) telecomunicaciones</w:t>
      </w:r>
    </w:p>
    <w:p>
      <w:pPr>
        <w:spacing w:before="0" w:after="60"/>
        <w:jc w:val="both"/>
      </w:pPr>
      <w:r>
        <w:rPr>
          <w:b/>
          <w:i w:val="0"/>
          <w:sz w:val="20"/>
        </w:rPr>
        <w:t xml:space="preserve">V-F: </w:t>
      </w:r>
      <w:r>
        <w:rPr>
          <w:b w:val="0"/>
          <w:i w:val="0"/>
          <w:sz w:val="20"/>
        </w:rPr>
        <w:t>8) V — En general sí, por las distancias cortas y el medio propio; una medición real depende también de la carga y del equipo. 9) V 10) F — Los enlaces WAN pertenecen a los operadores: se contratan, no se administran en propiedad.</w:t>
      </w:r>
    </w:p>
    <w:p>
      <w:pPr>
        <w:spacing w:before="0" w:after="60"/>
        <w:ind w:left="170"/>
        <w:jc w:val="both"/>
      </w:pPr>
      <w:r>
        <w:rPr>
          <w:b w:val="0"/>
          <w:i w:val="0"/>
          <w:sz w:val="20"/>
        </w:rPr>
        <w:t>11) Orientación: LAN del aula → router/salida contratada → WAN del proveedor y enlaces internacionales (troncales/submarinos) → LAN o red del centro de datos destino.</w:t>
      </w:r>
    </w:p>
    <w:p>
      <w:pPr>
        <w:spacing w:before="0" w:after="60"/>
        <w:ind w:left="170"/>
        <w:jc w:val="both"/>
      </w:pPr>
      <w:r>
        <w:rPr>
          <w:b w:val="0"/>
          <w:i w:val="0"/>
          <w:sz w:val="20"/>
        </w:rPr>
        <w:t>12) Orientación: Una MAN; contrataría los enlaces de fibra (u otro medio) entre los edificios, manteniendo cada sucursal su LAN propia.</w:t>
      </w:r>
    </w:p>
    <w:p>
      <w:pPr>
        <w:spacing w:before="40" w:after="100"/>
        <w:jc w:val="both"/>
      </w:pPr>
      <w:r>
        <w:rPr>
          <w:b/>
          <w:i w:val="0"/>
          <w:color w:val="2E7D32"/>
          <w:sz w:val="20"/>
        </w:rPr>
        <w:t xml:space="preserve">Práctica 13 — Resultado esperado: </w:t>
      </w:r>
      <w:r>
        <w:rPr>
          <w:b w:val="0"/>
          <w:i w:val="0"/>
          <w:sz w:val="20"/>
        </w:rPr>
        <w:t>puerta de enlace reconocida como destino local (habitualmente 1 salto y demora baja) y trazado remoto documentado con los valores realmente observados. Si ping no recibe respuesta, registrar «sin respuesta ICMP»; no concluir que el sitio está caído. En tracert, * significa que ese salto no respondió a esa sonda, no necesariamente que el enlace esté roto. La latencia remota suele ser mayor, pero no es una regla absoluta. Error frecuente: convertir valores típicos en resultados obligatorios.</w:t>
      </w:r>
    </w:p>
    <w:p>
      <w:pPr>
        <w:pStyle w:val="Ttulo2"/>
      </w:pPr>
      <w:r>
        <w:t>Clase 14 — Topologías de red</w:t>
      </w:r>
    </w:p>
    <w:p>
      <w:pPr>
        <w:spacing w:before="0" w:after="60"/>
        <w:jc w:val="both"/>
      </w:pPr>
      <w:r>
        <w:rPr>
          <w:b/>
          <w:i w:val="0"/>
          <w:sz w:val="20"/>
        </w:rPr>
        <w:t xml:space="preserve">Opción correcta: </w:t>
      </w:r>
      <w:r>
        <w:rPr>
          <w:b w:val="0"/>
          <w:i w:val="0"/>
          <w:sz w:val="20"/>
        </w:rPr>
        <w:t>1) c · 2) b · 3) a · 4) b</w:t>
      </w:r>
    </w:p>
    <w:p>
      <w:pPr>
        <w:spacing w:before="0" w:after="60"/>
        <w:jc w:val="both"/>
      </w:pPr>
      <w:r>
        <w:rPr>
          <w:b/>
          <w:i w:val="0"/>
          <w:sz w:val="20"/>
        </w:rPr>
        <w:t xml:space="preserve">Completar: </w:t>
      </w:r>
      <w:r>
        <w:rPr>
          <w:b w:val="0"/>
          <w:i w:val="0"/>
          <w:sz w:val="20"/>
        </w:rPr>
        <w:t>5) bus · 6) árbol · 7) único</w:t>
      </w:r>
    </w:p>
    <w:p>
      <w:pPr>
        <w:spacing w:before="0" w:after="60"/>
        <w:jc w:val="both"/>
      </w:pPr>
      <w:r>
        <w:rPr>
          <w:b/>
          <w:i w:val="0"/>
          <w:sz w:val="20"/>
        </w:rPr>
        <w:t xml:space="preserve">V-F: </w:t>
      </w:r>
      <w:r>
        <w:rPr>
          <w:b w:val="0"/>
          <w:i w:val="0"/>
          <w:sz w:val="20"/>
        </w:rPr>
        <w:t>8) V 9) F — Pueden diferir: una red cableada en estrella con un hub en el centro se comporta lógicamente como un bus. 10) F — Es la más cara en cableado y puertos; se reserva para enlaces críticos que exigen redundancia.</w:t>
      </w:r>
    </w:p>
    <w:p>
      <w:pPr>
        <w:spacing w:before="0" w:after="60"/>
        <w:ind w:left="170"/>
        <w:jc w:val="both"/>
      </w:pPr>
      <w:r>
        <w:rPr>
          <w:b w:val="0"/>
          <w:i w:val="0"/>
          <w:sz w:val="20"/>
        </w:rPr>
        <w:t>11) Orientación: Bus: (a) puede afectar al troncal según el corte, (b) el corte del troncal tumba todo. Estrella: (a) cae solo esa estación, (b) la caída del switch tumba todo. Conclusión: la estrella aísla fallas de estación.</w:t>
      </w:r>
    </w:p>
    <w:p>
      <w:pPr>
        <w:spacing w:before="0" w:after="60"/>
        <w:ind w:left="170"/>
        <w:jc w:val="both"/>
      </w:pPr>
      <w:r>
        <w:rPr>
          <w:b w:val="0"/>
          <w:i w:val="0"/>
          <w:sz w:val="20"/>
        </w:rPr>
        <w:t>12) Orientación: En el centro: switch de calidad (o segundo switch/puertos de reserva) y protección eléctrica del rack, porque su caída afecta a toda la red; los cables individuales solo afectan a un equipo.</w:t>
      </w:r>
    </w:p>
    <w:p>
      <w:pPr>
        <w:spacing w:before="40" w:after="100"/>
        <w:jc w:val="both"/>
      </w:pPr>
      <w:r>
        <w:rPr>
          <w:b/>
          <w:i w:val="0"/>
          <w:color w:val="2E7D32"/>
          <w:sz w:val="20"/>
        </w:rPr>
        <w:t xml:space="preserve">Práctica 14 — Resultado esperado: </w:t>
      </w:r>
      <w:r>
        <w:rPr>
          <w:b w:val="0"/>
          <w:i w:val="0"/>
          <w:sz w:val="20"/>
        </w:rPr>
        <w:t>estrella de la Farmacia Tajy con el switch en el centro, Caja-1 a Caja-4, Depósito, Administración, Impresora y Access point unidos al switch, y el Router arriba; todos con Conector recto anclado. El punto único de falla resaltado es el switch (si cae, ningún puesto se comunica); la caída del router solo corta internet. En el desafío, el switch del depósito cuelga del switch principal y forma un árbol. Errores frecuentes: usar Línea en vez de Conector recto; señalar el router como único punto de falla de la red local.</w:t>
      </w:r>
    </w:p>
    <w:p>
      <w:pPr>
        <w:pStyle w:val="Ttulo2"/>
      </w:pPr>
      <w:r>
        <w:t>Clase 15 — Equipos de red</w:t>
      </w:r>
    </w:p>
    <w:p>
      <w:pPr>
        <w:spacing w:before="0" w:after="60"/>
        <w:jc w:val="both"/>
      </w:pPr>
      <w:r>
        <w:rPr>
          <w:b/>
          <w:i w:val="0"/>
          <w:sz w:val="20"/>
        </w:rPr>
        <w:t xml:space="preserve">Opción correcta: </w:t>
      </w:r>
      <w:r>
        <w:rPr>
          <w:b w:val="0"/>
          <w:i w:val="0"/>
          <w:sz w:val="20"/>
        </w:rPr>
        <w:t>1) b · 2) c · 3) b · 4) b</w:t>
      </w:r>
    </w:p>
    <w:p>
      <w:pPr>
        <w:spacing w:before="0" w:after="60"/>
        <w:jc w:val="both"/>
      </w:pPr>
      <w:r>
        <w:rPr>
          <w:b/>
          <w:i w:val="0"/>
          <w:sz w:val="20"/>
        </w:rPr>
        <w:t xml:space="preserve">Completar: </w:t>
      </w:r>
      <w:r>
        <w:rPr>
          <w:b w:val="0"/>
          <w:i w:val="0"/>
          <w:sz w:val="20"/>
        </w:rPr>
        <w:t>5) de velocidad · 6) DHCP · 7) ONT</w:t>
      </w:r>
    </w:p>
    <w:p>
      <w:pPr>
        <w:spacing w:before="0" w:after="60"/>
        <w:jc w:val="both"/>
      </w:pPr>
      <w:r>
        <w:rPr>
          <w:b/>
          <w:i w:val="0"/>
          <w:sz w:val="20"/>
        </w:rPr>
        <w:t xml:space="preserve">V-F: </w:t>
      </w:r>
      <w:r>
        <w:rPr>
          <w:b w:val="0"/>
          <w:i w:val="0"/>
          <w:sz w:val="20"/>
        </w:rPr>
        <w:t>8) V 9) F — Ese es el rol del router; el switch conmuta dentro de la propia red local. 10) V</w:t>
      </w:r>
    </w:p>
    <w:p>
      <w:pPr>
        <w:spacing w:before="0" w:after="60"/>
        <w:ind w:left="170"/>
        <w:jc w:val="both"/>
      </w:pPr>
      <w:r>
        <w:rPr>
          <w:b w:val="0"/>
          <w:i w:val="0"/>
          <w:sz w:val="20"/>
        </w:rPr>
        <w:t>11) Orientación: El switch es el portero que entrega sobres entre oficinas del edificio (LAN); el router es la oficina de correos que decide cómo enviar lo que va a otros edificios (otras redes).</w:t>
      </w:r>
    </w:p>
    <w:p>
      <w:pPr>
        <w:spacing w:before="0" w:after="60"/>
        <w:ind w:left="170"/>
        <w:jc w:val="both"/>
      </w:pPr>
      <w:r>
        <w:rPr>
          <w:b w:val="0"/>
          <w:i w:val="0"/>
          <w:sz w:val="20"/>
        </w:rPr>
        <w:t>12) Orientación: Access point cableado hasta el depósito (mejor rendimiento, requiere cable) vs. repetidor a mitad de camino (fácil, pero reduce el ancho de banda); elegir según posibilidad de cablear.</w:t>
      </w:r>
    </w:p>
    <w:p>
      <w:pPr>
        <w:spacing w:before="40" w:after="100"/>
        <w:jc w:val="both"/>
      </w:pPr>
      <w:r>
        <w:rPr>
          <w:b/>
          <w:i w:val="0"/>
          <w:color w:val="2E7D32"/>
          <w:sz w:val="20"/>
        </w:rPr>
        <w:t xml:space="preserve">Práctica 15 — Resultado esperado: </w:t>
      </w:r>
      <w:r>
        <w:rPr>
          <w:b w:val="0"/>
          <w:i w:val="0"/>
          <w:sz w:val="20"/>
        </w:rPr>
        <w:t>bocas ocupadas 6 PC + impresora + access point + enlace al router = 9; con 20 % de reserva, 9 × 1,2 = 10,8 → 11; el de 8 puertos se descarta. Se espera elegir el de 16 puertos con PoE, porque el access point del techo se alimenta por el cable; se acepta el de 16 sin PoE si se presupuesta un inyector. Desafío: con dos cajas más, 11 × 1,2 = 13,2 → 14 puertos: el switch de 16 sigue sirviendo. Errores frecuentes: olvidar el access point o el enlace al router; ignorar la alimentación del access point.</w:t>
      </w:r>
    </w:p>
    <w:p>
      <w:pPr>
        <w:pStyle w:val="Ttulo2"/>
      </w:pPr>
      <w:r>
        <w:t>Clase 16 — Materiales de red</w:t>
      </w:r>
    </w:p>
    <w:p>
      <w:pPr>
        <w:spacing w:before="0" w:after="60"/>
        <w:jc w:val="both"/>
      </w:pPr>
      <w:r>
        <w:rPr>
          <w:b/>
          <w:i w:val="0"/>
          <w:sz w:val="20"/>
        </w:rPr>
        <w:t xml:space="preserve">Opción correcta: </w:t>
      </w:r>
      <w:r>
        <w:rPr>
          <w:b w:val="0"/>
          <w:i w:val="0"/>
          <w:sz w:val="20"/>
        </w:rPr>
        <w:t>1) b · 2) b · 3) b · 4) b</w:t>
      </w:r>
    </w:p>
    <w:p>
      <w:pPr>
        <w:spacing w:before="0" w:after="60"/>
        <w:jc w:val="both"/>
      </w:pPr>
      <w:r>
        <w:rPr>
          <w:b/>
          <w:i w:val="0"/>
          <w:sz w:val="20"/>
        </w:rPr>
        <w:t xml:space="preserve">Completar: </w:t>
      </w:r>
      <w:r>
        <w:rPr>
          <w:b w:val="0"/>
          <w:i w:val="0"/>
          <w:sz w:val="20"/>
        </w:rPr>
        <w:t>5) 305 · 6) cords · 7) rack</w:t>
      </w:r>
    </w:p>
    <w:p>
      <w:pPr>
        <w:spacing w:before="0" w:after="60"/>
        <w:jc w:val="both"/>
      </w:pPr>
      <w:r>
        <w:rPr>
          <w:b/>
          <w:i w:val="0"/>
          <w:sz w:val="20"/>
        </w:rPr>
        <w:t xml:space="preserve">V-F: </w:t>
      </w:r>
      <w:r>
        <w:rPr>
          <w:b w:val="0"/>
          <w:i w:val="0"/>
          <w:sz w:val="20"/>
        </w:rPr>
        <w:t>8) F — Cables, conectores y remates de mala calidad producen fallas intermitentes difíciles de diagnosticar. 9) V 10) F — Se diseña para durar años sin tocarse; los cambios se hacen sobre los patch cords.</w:t>
      </w:r>
    </w:p>
    <w:p>
      <w:pPr>
        <w:spacing w:before="0" w:after="60"/>
        <w:ind w:left="170"/>
        <w:jc w:val="both"/>
      </w:pPr>
      <w:r>
        <w:rPr>
          <w:b w:val="0"/>
          <w:i w:val="0"/>
          <w:sz w:val="20"/>
        </w:rPr>
        <w:t>11) Orientación: El tendido fijo queda protegido y estable; los extremos reemplazables (cordones) absorben el desgaste; los cambios y diagnósticos se hacen en el rack sin tocar paredes.</w:t>
      </w:r>
    </w:p>
    <w:p>
      <w:pPr>
        <w:spacing w:before="0" w:after="60"/>
        <w:ind w:left="170"/>
        <w:jc w:val="both"/>
      </w:pPr>
      <w:r>
        <w:rPr>
          <w:b w:val="0"/>
          <w:i w:val="0"/>
          <w:sz w:val="20"/>
        </w:rPr>
        <w:t>12) Orientación: 5 rosetas/jacks, patch panel (8+ bocas), 11 patch cords (5 × 2 + 1 enlace switch↔router), cable UTP según distancias, canaletas, rack chico, etiquetas; cantidades coherentes con 5 puntos.</w:t>
      </w:r>
    </w:p>
    <w:p>
      <w:pPr>
        <w:spacing w:before="40" w:after="100"/>
        <w:jc w:val="both"/>
      </w:pPr>
      <w:r>
        <w:rPr>
          <w:b/>
          <w:i w:val="0"/>
          <w:color w:val="2E7D32"/>
          <w:sz w:val="20"/>
        </w:rPr>
        <w:t xml:space="preserve">Práctica 16 — Resultado esperado: </w:t>
      </w:r>
      <w:r>
        <w:rPr>
          <w:b w:val="0"/>
          <w:i w:val="0"/>
          <w:sz w:val="20"/>
        </w:rPr>
        <w:t>cable 7 + 11 + 14 + 19 + 23 + 28 + 41 + 52 = 195 m; con 10 %, ≈ 214,5 m → 1 caja de 305 m; 8 rosetas con jack; patch panel de al menos 8 bocas (12 o 16 con reserva); patch cords 8 × 2 + 1 = 17; switch con 9 puertos ocupados. Subtotales y total por fórmula. Errores frecuentes: contar un solo patch cord por punto; olvidar el enlace switch–router; escribir el total a mano.</w:t>
      </w:r>
    </w:p>
    <w:p>
      <w:pPr>
        <w:pStyle w:val="Ttulo2"/>
      </w:pPr>
      <w:r>
        <w:t>Clase 17 — Medios de transmisión guiados</w:t>
      </w:r>
    </w:p>
    <w:p>
      <w:pPr>
        <w:spacing w:before="0" w:after="60"/>
        <w:jc w:val="both"/>
      </w:pPr>
      <w:r>
        <w:rPr>
          <w:b/>
          <w:i w:val="0"/>
          <w:sz w:val="20"/>
        </w:rPr>
        <w:t xml:space="preserve">Opción correcta: </w:t>
      </w:r>
      <w:r>
        <w:rPr>
          <w:b w:val="0"/>
          <w:i w:val="0"/>
          <w:sz w:val="20"/>
        </w:rPr>
        <w:t>1) b · 2) c · 3) c · 4) b</w:t>
      </w:r>
    </w:p>
    <w:p>
      <w:pPr>
        <w:spacing w:before="0" w:after="60"/>
        <w:jc w:val="both"/>
      </w:pPr>
      <w:r>
        <w:rPr>
          <w:b/>
          <w:i w:val="0"/>
          <w:sz w:val="20"/>
        </w:rPr>
        <w:t xml:space="preserve">Completar: </w:t>
      </w:r>
      <w:r>
        <w:rPr>
          <w:b w:val="0"/>
          <w:i w:val="0"/>
          <w:sz w:val="20"/>
        </w:rPr>
        <w:t>5) sin · 6) 100 · 7) multimodo</w:t>
      </w:r>
    </w:p>
    <w:p>
      <w:pPr>
        <w:spacing w:before="0" w:after="60"/>
        <w:jc w:val="both"/>
      </w:pPr>
      <w:r>
        <w:rPr>
          <w:b/>
          <w:i w:val="0"/>
          <w:sz w:val="20"/>
        </w:rPr>
        <w:t xml:space="preserve">V-F: </w:t>
      </w:r>
      <w:r>
        <w:rPr>
          <w:b w:val="0"/>
          <w:i w:val="0"/>
          <w:sz w:val="20"/>
        </w:rPr>
        <w:t>8) F — Ya no se instala en redes de datos nuevas; quedó para TV, antenas y cámaras analógicas. 9) V 10) F — El costo no se justifica: el UTP resuelve el puesto; la fibra se reserva para troncales y enlaces largos.</w:t>
      </w:r>
    </w:p>
    <w:p>
      <w:pPr>
        <w:spacing w:before="0" w:after="60"/>
        <w:ind w:left="170"/>
        <w:jc w:val="both"/>
      </w:pPr>
      <w:r>
        <w:rPr>
          <w:b w:val="0"/>
          <w:i w:val="0"/>
          <w:sz w:val="20"/>
        </w:rPr>
        <w:t>11) Orientación: Fibra óptica (o al menos par blindado FTP/STP en tramos cortos): la soldadura genera interferencia electromagnética intensa y la fibra es inmune; el UTP común sufriría errores.</w:t>
      </w:r>
    </w:p>
    <w:p>
      <w:pPr>
        <w:spacing w:before="0" w:after="60"/>
        <w:ind w:left="170"/>
        <w:jc w:val="both"/>
      </w:pPr>
      <w:r>
        <w:rPr>
          <w:b w:val="0"/>
          <w:i w:val="0"/>
          <w:sz w:val="20"/>
        </w:rPr>
        <w:t>12) Orientación: Margen de prestaciones (1 Gb/s holgado, 10 Gb/s en tramos cortos) por una diferencia de precio menor, y vida útil: el cableado fijo dura años y recablear cuesta más que la diferencia de categoría.</w:t>
      </w:r>
    </w:p>
    <w:p>
      <w:pPr>
        <w:spacing w:before="40" w:after="100"/>
        <w:jc w:val="both"/>
      </w:pPr>
      <w:r>
        <w:rPr>
          <w:b/>
          <w:i w:val="0"/>
          <w:color w:val="2E7D32"/>
          <w:sz w:val="20"/>
        </w:rPr>
        <w:t xml:space="preserve">Práctica 17 — Resultado esperado: </w:t>
      </w:r>
      <w:r>
        <w:rPr>
          <w:b w:val="0"/>
          <w:i w:val="0"/>
          <w:sz w:val="20"/>
        </w:rPr>
        <w:t>(1) consultorio a 45 m → UTP cat. 6; (2) lavandería con motores a 70 m → fibra o par trenzado apantallado, por la interferencia; (3) sucursales a 230 m → fibra (supera los 100 m); (4) cámaras analógicas existentes → mantener el coaxial. La fórmula marca SÍ solo en el escenario 3. Errores frecuentes: elegir UTP para 230 m; blindar sin una fuente de interferencia que lo justifique.</w:t>
      </w:r>
    </w:p>
    <w:p>
      <w:pPr>
        <w:pStyle w:val="Ttulo2"/>
      </w:pPr>
      <w:r>
        <w:t>Clase 18 — Medios de transmisión no guiados</w:t>
      </w:r>
    </w:p>
    <w:p>
      <w:pPr>
        <w:spacing w:before="0" w:after="60"/>
        <w:jc w:val="both"/>
      </w:pPr>
      <w:r>
        <w:rPr>
          <w:b/>
          <w:i w:val="0"/>
          <w:sz w:val="20"/>
        </w:rPr>
        <w:t xml:space="preserve">Opción correcta: </w:t>
      </w:r>
      <w:r>
        <w:rPr>
          <w:b w:val="0"/>
          <w:i w:val="0"/>
          <w:sz w:val="20"/>
        </w:rPr>
        <w:t>1) a · 2) c · 3) b · 4) b</w:t>
      </w:r>
    </w:p>
    <w:p>
      <w:pPr>
        <w:spacing w:before="0" w:after="60"/>
        <w:jc w:val="both"/>
      </w:pPr>
      <w:r>
        <w:rPr>
          <w:b/>
          <w:i w:val="0"/>
          <w:sz w:val="20"/>
        </w:rPr>
        <w:t xml:space="preserve">Completar: </w:t>
      </w:r>
      <w:r>
        <w:rPr>
          <w:b w:val="0"/>
          <w:i w:val="0"/>
          <w:sz w:val="20"/>
        </w:rPr>
        <w:t>5) 11 · 6) 7 · 7) espectro</w:t>
      </w:r>
    </w:p>
    <w:p>
      <w:pPr>
        <w:spacing w:before="0" w:after="60"/>
        <w:jc w:val="both"/>
      </w:pPr>
      <w:r>
        <w:rPr>
          <w:b/>
          <w:i w:val="0"/>
          <w:sz w:val="20"/>
        </w:rPr>
        <w:t xml:space="preserve">V-F: </w:t>
      </w:r>
      <w:r>
        <w:rPr>
          <w:b w:val="0"/>
          <w:i w:val="0"/>
          <w:sz w:val="20"/>
        </w:rPr>
        <w:t>8) F — No hay una regla absoluta: el rendimiento depende también del estándar Wi-Fi, el ancho de canal, la interferencia, la distancia y el equipo cliente; 5 GHz suele ofrecer más capacidad, pero menos alcance. 9) F — Es limitado: el Estado lo administra, con bandas de uso libre regulado y bandas licitadas. 10) F — La complementa: su rol es llegar donde la infraestructura terrestre no llega.</w:t>
      </w:r>
    </w:p>
    <w:p>
      <w:pPr>
        <w:spacing w:before="0" w:after="60"/>
        <w:ind w:left="170"/>
        <w:jc w:val="both"/>
      </w:pPr>
      <w:r>
        <w:rPr>
          <w:b w:val="0"/>
          <w:i w:val="0"/>
          <w:sz w:val="20"/>
        </w:rPr>
        <w:t>11) Orientación: Satélite LEO; advertir costo del servicio/equipo y sensibilidad al clima (además de depender de un único proveedor).</w:t>
      </w:r>
    </w:p>
    <w:p>
      <w:pPr>
        <w:spacing w:before="0" w:after="60"/>
        <w:ind w:left="170"/>
        <w:jc w:val="both"/>
      </w:pPr>
      <w:r>
        <w:rPr>
          <w:b w:val="0"/>
          <w:i w:val="0"/>
          <w:sz w:val="20"/>
        </w:rPr>
        <w:t>12) Orientación: El cable garantiza velocidad estable por puesto; el aire se comparte y sufre interferencias; el Wi-Fi sirve a los dispositivos móviles mientras las terminales fijas van cableadas.</w:t>
      </w:r>
    </w:p>
    <w:p>
      <w:pPr>
        <w:spacing w:before="40" w:after="100"/>
        <w:jc w:val="both"/>
      </w:pPr>
      <w:r>
        <w:rPr>
          <w:b/>
          <w:i w:val="0"/>
          <w:color w:val="2E7D32"/>
          <w:sz w:val="20"/>
        </w:rPr>
        <w:t xml:space="preserve">Práctica 18 — Resultado esperado: </w:t>
      </w:r>
      <w:r>
        <w:rPr>
          <w:b w:val="0"/>
          <w:i w:val="0"/>
          <w:sz w:val="20"/>
        </w:rPr>
        <w:t>cinco redes con SSID, canal y seguridad; la banda se registra solo si el sistema o el listado de referencia la informa de forma verificable. Si no aparece, escribir «no determinada»: el número de canal por sí solo no distingue siempre 2,4/5/6 GHz en equipos modernos. La recomendación debe considerar congestión, alcance y compatibilidad. Errores frecuentes: inferir banda solo por canal; confundir canal con intensidad de señal.</w:t>
      </w:r>
    </w:p>
    <w:p>
      <w:pPr>
        <w:pStyle w:val="Ttulo2"/>
      </w:pPr>
      <w:r>
        <w:t>Clase 19 — Cableado estructurado</w:t>
      </w:r>
    </w:p>
    <w:p>
      <w:pPr>
        <w:spacing w:before="0" w:after="60"/>
        <w:jc w:val="both"/>
      </w:pPr>
      <w:r>
        <w:rPr>
          <w:b/>
          <w:i w:val="0"/>
          <w:sz w:val="20"/>
        </w:rPr>
        <w:t xml:space="preserve">Opción correcta: </w:t>
      </w:r>
      <w:r>
        <w:rPr>
          <w:b w:val="0"/>
          <w:i w:val="0"/>
          <w:sz w:val="20"/>
        </w:rPr>
        <w:t>1) b · 2) a · 3) b · 4) b</w:t>
      </w:r>
    </w:p>
    <w:p>
      <w:pPr>
        <w:spacing w:before="0" w:after="60"/>
        <w:jc w:val="both"/>
      </w:pPr>
      <w:r>
        <w:rPr>
          <w:b/>
          <w:i w:val="0"/>
          <w:sz w:val="20"/>
        </w:rPr>
        <w:t xml:space="preserve">Completar: </w:t>
      </w:r>
      <w:r>
        <w:rPr>
          <w:b w:val="0"/>
          <w:i w:val="0"/>
          <w:sz w:val="20"/>
        </w:rPr>
        <w:t>5) canal · 6) 90 · 7) certificación</w:t>
      </w:r>
    </w:p>
    <w:p>
      <w:pPr>
        <w:spacing w:before="0" w:after="60"/>
        <w:jc w:val="both"/>
      </w:pPr>
      <w:r>
        <w:rPr>
          <w:b/>
          <w:i w:val="0"/>
          <w:sz w:val="20"/>
        </w:rPr>
        <w:t xml:space="preserve">V-F: </w:t>
      </w:r>
      <w:r>
        <w:rPr>
          <w:b w:val="0"/>
          <w:i w:val="0"/>
          <w:sz w:val="20"/>
        </w:rPr>
        <w:t>8) F — La norma garantiza prestaciones: superar los 100 m degrada la señal aunque haya enlace. 9) V 10) F — Une pisos el backbone o cableado vertical; el área de trabajo es la roseta y el cordón del usuario.</w:t>
      </w:r>
    </w:p>
    <w:p>
      <w:pPr>
        <w:spacing w:before="0" w:after="60"/>
        <w:ind w:left="170"/>
        <w:jc w:val="both"/>
      </w:pPr>
      <w:r>
        <w:rPr>
          <w:b w:val="0"/>
          <w:i w:val="0"/>
          <w:sz w:val="20"/>
        </w:rPr>
        <w:t>11) Orientación: Explicar que el panel protege el tendido fijo, ordena, permite cambios sin tocar paredes y es requisito de una instalación normalizada; el 'ahorro' se paga en cada mantenimiento.</w:t>
      </w:r>
    </w:p>
    <w:p>
      <w:pPr>
        <w:spacing w:before="0" w:after="60"/>
        <w:ind w:left="170"/>
        <w:jc w:val="both"/>
      </w:pPr>
      <w:r>
        <w:rPr>
          <w:b w:val="0"/>
          <w:i w:val="0"/>
          <w:sz w:val="20"/>
        </w:rPr>
        <w:t>12) Orientación: Al cliente le garantiza las prestaciones contratadas por enlace; al instalador le documenta que entregó según norma, deslindando fallas futuras ajenas a la instalación.</w:t>
      </w:r>
    </w:p>
    <w:p>
      <w:pPr>
        <w:spacing w:before="40" w:after="100"/>
        <w:jc w:val="both"/>
      </w:pPr>
      <w:r>
        <w:rPr>
          <w:b/>
          <w:i w:val="0"/>
          <w:color w:val="2E7D32"/>
          <w:sz w:val="20"/>
        </w:rPr>
        <w:t xml:space="preserve">Práctica 19 — Resultado esperado: </w:t>
      </w:r>
      <w:r>
        <w:rPr>
          <w:b w:val="0"/>
          <w:i w:val="0"/>
          <w:sz w:val="20"/>
        </w:rPr>
        <w:t>canales de 12, 16, 19, 24, 28, 33, 46 y 57 m, todos SÍ; el punto de prueba (93 m fijos, 98 m de canal) marca NO porque supera los 90 m de tendido fijo, aunque el canal no llegue a 100 m. Desafío: el menor margen es el del punto de 52 m (100 − 57 = 43 m). Errores frecuentes: verificar solo el canal y olvidar el límite del tendido fijo; aplicar el formato condicional a toda la hoja.</w:t>
      </w:r>
    </w:p>
    <w:p>
      <w:pPr>
        <w:pStyle w:val="Ttulo2"/>
      </w:pPr>
      <w:r>
        <w:t>Clase 20 — CONATEL y el marco regulatorio</w:t>
      </w:r>
    </w:p>
    <w:p>
      <w:pPr>
        <w:spacing w:before="0" w:after="60"/>
        <w:jc w:val="both"/>
      </w:pPr>
      <w:r>
        <w:rPr>
          <w:b/>
          <w:i w:val="0"/>
          <w:sz w:val="20"/>
        </w:rPr>
        <w:t xml:space="preserve">Opción correcta: </w:t>
      </w:r>
      <w:r>
        <w:rPr>
          <w:b w:val="0"/>
          <w:i w:val="0"/>
          <w:sz w:val="20"/>
        </w:rPr>
        <w:t>1) b · 2) a · 3) b · 4) b</w:t>
      </w:r>
    </w:p>
    <w:p>
      <w:pPr>
        <w:spacing w:before="0" w:after="60"/>
        <w:jc w:val="both"/>
      </w:pPr>
      <w:r>
        <w:rPr>
          <w:b/>
          <w:i w:val="0"/>
          <w:sz w:val="20"/>
        </w:rPr>
        <w:t xml:space="preserve">Completar: </w:t>
      </w:r>
      <w:r>
        <w:rPr>
          <w:b w:val="0"/>
          <w:i w:val="0"/>
          <w:sz w:val="20"/>
        </w:rPr>
        <w:t>5) Telecomunicaciones · 6) Frecuencias · 7) homologación</w:t>
      </w:r>
    </w:p>
    <w:p>
      <w:pPr>
        <w:spacing w:before="0" w:after="60"/>
        <w:jc w:val="both"/>
      </w:pPr>
      <w:r>
        <w:rPr>
          <w:b/>
          <w:i w:val="0"/>
          <w:sz w:val="20"/>
        </w:rPr>
        <w:t xml:space="preserve">V-F: </w:t>
      </w:r>
      <w:r>
        <w:rPr>
          <w:b w:val="0"/>
          <w:i w:val="0"/>
          <w:sz w:val="20"/>
        </w:rPr>
        <w:t>8) V 9) F — Son de uso libre regulado: tienen reglas de potencia y los equipos deben estar homologados. 10) F — Corresponde a CONATEL como ente regulador; los operadores son los fiscalizados.</w:t>
      </w:r>
    </w:p>
    <w:p>
      <w:pPr>
        <w:spacing w:before="0" w:after="60"/>
        <w:ind w:left="170"/>
        <w:jc w:val="both"/>
      </w:pPr>
      <w:r>
        <w:rPr>
          <w:b w:val="0"/>
          <w:i w:val="0"/>
          <w:sz w:val="20"/>
        </w:rPr>
        <w:t>11) Orientación: Es un recurso limitado y compartido: sin ordenamiento, las transmisiones se interferirían entre sí (ejemplo: dos radios en la misma frecuencia, potencias excesivas en canales Wi-Fi); el Plan de Frecuencias y la fiscalización lo evitan.</w:t>
      </w:r>
    </w:p>
    <w:p>
      <w:pPr>
        <w:spacing w:before="0" w:after="60"/>
        <w:ind w:left="170"/>
        <w:jc w:val="both"/>
      </w:pPr>
      <w:r>
        <w:rPr>
          <w:b w:val="0"/>
          <w:i w:val="0"/>
          <w:sz w:val="20"/>
        </w:rPr>
        <w:t>12) Orientación: Plano de topología, plan de direcciones IP, lista de equipos y materiales con presupuesto, verificación de canales (100 m) y consideraciones regulatorias (homologación/Wi-Fi); acepta orden libre.</w:t>
      </w:r>
    </w:p>
    <w:p>
      <w:pPr>
        <w:spacing w:before="40" w:after="100"/>
        <w:jc w:val="both"/>
      </w:pPr>
      <w:r>
        <w:rPr>
          <w:b/>
          <w:i w:val="0"/>
          <w:color w:val="2E7D32"/>
          <w:sz w:val="20"/>
        </w:rPr>
        <w:t xml:space="preserve">Práctica 20 — Resultado esperado: </w:t>
      </w:r>
      <w:r>
        <w:rPr>
          <w:b w:val="0"/>
          <w:i w:val="0"/>
          <w:sz w:val="20"/>
        </w:rPr>
        <w:t>ficha con misión citada y fechada del sitio oficial, e informe que integra los productos de las prácticas 12 y 14-19 con conclusión. Errores frecuentes: parafrasear la misión sin comillas ni fuente; secciones enunciadas pero vacías; olvidar la fecha de consulta.</w:t>
      </w:r>
    </w:p>
    <w:p>
      <w:pPr>
        <w:pStyle w:val="Ttulo1"/>
        <w:pageBreakBefore/>
      </w:pPr>
      <w:r>
        <w:t>Segunda parte — Evaluaciones</w:t>
      </w:r>
    </w:p>
    <w:p>
      <w:pPr>
        <w:pStyle w:val="Ttulo2"/>
      </w:pPr>
      <w:r>
        <w:t>Evaluación de la Unidad 1 — Componentes básicos de una computadora</w:t>
      </w:r>
    </w:p>
    <w:p>
      <w:pPr>
        <w:spacing w:before="0" w:after="60"/>
        <w:jc w:val="both"/>
      </w:pPr>
      <w:r>
        <w:rPr>
          <w:b/>
          <w:i w:val="0"/>
          <w:sz w:val="20"/>
        </w:rPr>
        <w:t xml:space="preserve">Opción correcta: </w:t>
      </w:r>
      <w:r>
        <w:rPr>
          <w:b w:val="0"/>
          <w:i w:val="0"/>
          <w:sz w:val="20"/>
        </w:rPr>
        <w:t>1) b · 2) b · 3) b · 4) c · 5) b · 6) c</w:t>
      </w:r>
    </w:p>
    <w:p>
      <w:pPr>
        <w:spacing w:before="0" w:after="60"/>
        <w:jc w:val="both"/>
      </w:pPr>
      <w:r>
        <w:rPr>
          <w:b/>
          <w:i w:val="0"/>
          <w:sz w:val="20"/>
        </w:rPr>
        <w:t xml:space="preserve">Completar: </w:t>
      </w:r>
      <w:r>
        <w:rPr>
          <w:b w:val="0"/>
          <w:i w:val="0"/>
          <w:sz w:val="20"/>
        </w:rPr>
        <w:t>7) 5 · 8) DIMM · 9) M.2 · 10) rendimiento (en páginas)</w:t>
      </w:r>
    </w:p>
    <w:p>
      <w:pPr>
        <w:spacing w:before="0" w:after="60"/>
        <w:jc w:val="both"/>
      </w:pPr>
      <w:r>
        <w:rPr>
          <w:b/>
          <w:i w:val="0"/>
          <w:sz w:val="20"/>
        </w:rPr>
        <w:t xml:space="preserve">V-F: </w:t>
      </w:r>
      <w:r>
        <w:rPr>
          <w:b w:val="0"/>
          <w:i w:val="0"/>
          <w:sz w:val="20"/>
        </w:rPr>
        <w:t>11) V 12) F — Es al revés: el SSD no tiene partes móviles y resiste mejor. 13) V 14) F — Usa tóner; la tinta líquida corresponde a la inyección.</w:t>
      </w:r>
    </w:p>
    <w:p>
      <w:pPr>
        <w:spacing w:before="0" w:after="60"/>
        <w:ind w:left="170"/>
        <w:jc w:val="both"/>
      </w:pPr>
      <w:r>
        <w:rPr>
          <w:b w:val="0"/>
          <w:i w:val="0"/>
          <w:sz w:val="20"/>
        </w:rPr>
        <w:t>15) Orientación: Debe interpretar: placa mini-ITX (equipo compacto, pocas ranuras para ampliar); 8 núcleos/16 hilos, holgado para tareas administrativas; 1 × 16 GB DDR5: capacidad suficiente, pero con un solo módulo no hay doble canal (sería mejor 2 × 8 GB); SSD SATA de 1 TB: mucha capacidad y arranque rápido frente a un HDD, aunque menos veloz que un NVMe; fuente 450 W 80 Plus Bronze: eficiencia certificada y potencia suficiente para un equipo sin tarjeta de video, a confirmar en la especificación. Valorar la interpretación, no la repetición.</w:t>
      </w:r>
    </w:p>
    <w:p>
      <w:pPr>
        <w:spacing w:before="0" w:after="60"/>
        <w:ind w:left="170"/>
        <w:jc w:val="both"/>
      </w:pPr>
      <w:r>
        <w:rPr>
          <w:b w:val="0"/>
          <w:i w:val="0"/>
          <w:sz w:val="20"/>
        </w:rPr>
        <w:t>16) Orientación: Costo real = equipo + insumos en el tiempo; con volumen mensual, el menor costo por página (tóner de alto rendimiento) recupera la diferencia inicial; se espera un razonamiento numérico aunque sea aproximado.</w:t>
      </w:r>
    </w:p>
    <w:p>
      <w:pPr>
        <w:pStyle w:val="Ttulo2"/>
      </w:pPr>
      <w:r>
        <w:t>Evaluación integradora de la 1.ª etapa</w:t>
      </w:r>
    </w:p>
    <w:p>
      <w:pPr>
        <w:spacing w:before="0" w:after="60"/>
        <w:jc w:val="both"/>
      </w:pPr>
      <w:r>
        <w:rPr>
          <w:b/>
          <w:i w:val="0"/>
          <w:sz w:val="20"/>
        </w:rPr>
        <w:t xml:space="preserve">Opción correcta: </w:t>
      </w:r>
      <w:r>
        <w:rPr>
          <w:b w:val="0"/>
          <w:i w:val="0"/>
          <w:sz w:val="20"/>
        </w:rPr>
        <w:t>1) b · 2) b · 3) b · 4) b · 5) c</w:t>
      </w:r>
    </w:p>
    <w:p>
      <w:pPr>
        <w:spacing w:before="0" w:after="60"/>
        <w:jc w:val="both"/>
      </w:pPr>
      <w:r>
        <w:rPr>
          <w:b/>
          <w:i w:val="0"/>
          <w:sz w:val="20"/>
        </w:rPr>
        <w:t xml:space="preserve">Completar: </w:t>
      </w:r>
      <w:r>
        <w:rPr>
          <w:b w:val="0"/>
          <w:i w:val="0"/>
          <w:sz w:val="20"/>
        </w:rPr>
        <w:t>6) chipset · 7) hilos · 8) caché</w:t>
      </w:r>
    </w:p>
    <w:p>
      <w:pPr>
        <w:spacing w:before="0" w:after="60"/>
        <w:jc w:val="both"/>
      </w:pPr>
      <w:r>
        <w:rPr>
          <w:b/>
          <w:i w:val="0"/>
          <w:sz w:val="20"/>
        </w:rPr>
        <w:t xml:space="preserve">V-F: </w:t>
      </w:r>
      <w:r>
        <w:rPr>
          <w:b w:val="0"/>
          <w:i w:val="0"/>
          <w:sz w:val="20"/>
        </w:rPr>
        <w:t>9) V 10) F — Cada formato tiene su propia base: DVD 16x supera a CD 52x. 11) V</w:t>
      </w:r>
    </w:p>
    <w:p>
      <w:pPr>
        <w:spacing w:before="0" w:after="60"/>
        <w:jc w:val="both"/>
      </w:pPr>
      <w:r>
        <w:rPr>
          <w:b/>
          <w:i w:val="0"/>
          <w:sz w:val="20"/>
        </w:rPr>
        <w:t xml:space="preserve">Desarrollo del caso: </w:t>
      </w:r>
      <w:r>
        <w:rPr>
          <w:b w:val="0"/>
          <w:i w:val="0"/>
          <w:sz w:val="20"/>
        </w:rPr>
        <w:t>a) 280.000 + 390.000 + 720.000 + 1.150.000 + 480.000 + 430.000 = G. 3.450.000. b) 3.450.000 × 10 = G. 34.500.000. c) No conviene: se pierde el doble canal (cae el ancho de banda de memoria) y 8 GB dejan sin margen la multitarea del aula; el ahorro se paga en rendimiento. d) Ejemplos válidos: placa micro-ATX ↔ gabinete torre media (factor de forma), procesador ↔ zócalo/chipset de la placa, DDR4 ↔ ranuras DIMM del tipo correcto, NVMe ↔ conector M.2 disponible.</w:t>
      </w:r>
    </w:p>
    <w:p>
      <w:pPr>
        <w:pStyle w:val="Ttulo2"/>
      </w:pPr>
      <w:r>
        <w:t>Evaluación de la Unidad 2 — Redes de computadoras</w:t>
      </w:r>
    </w:p>
    <w:p>
      <w:pPr>
        <w:spacing w:before="0" w:after="60"/>
        <w:jc w:val="both"/>
      </w:pPr>
      <w:r>
        <w:rPr>
          <w:b/>
          <w:i w:val="0"/>
          <w:sz w:val="20"/>
        </w:rPr>
        <w:t xml:space="preserve">Opción correcta: </w:t>
      </w:r>
      <w:r>
        <w:rPr>
          <w:b w:val="0"/>
          <w:i w:val="0"/>
          <w:sz w:val="20"/>
        </w:rPr>
        <w:t>1) b · 2) c · 3) c · 4) b · 5) b · 6) c</w:t>
      </w:r>
    </w:p>
    <w:p>
      <w:pPr>
        <w:spacing w:before="0" w:after="60"/>
        <w:jc w:val="both"/>
      </w:pPr>
      <w:r>
        <w:rPr>
          <w:b/>
          <w:i w:val="0"/>
          <w:sz w:val="20"/>
        </w:rPr>
        <w:t xml:space="preserve">Completar: </w:t>
      </w:r>
      <w:r>
        <w:rPr>
          <w:b w:val="0"/>
          <w:i w:val="0"/>
          <w:sz w:val="20"/>
        </w:rPr>
        <w:t>7) DHCP · 8) patch cords (cordones) · 9) CONATEL · 10) T568B</w:t>
      </w:r>
    </w:p>
    <w:p>
      <w:pPr>
        <w:spacing w:before="0" w:after="60"/>
        <w:jc w:val="both"/>
      </w:pPr>
      <w:r>
        <w:rPr>
          <w:b/>
          <w:i w:val="0"/>
          <w:sz w:val="20"/>
        </w:rPr>
        <w:t xml:space="preserve">V-F: </w:t>
      </w:r>
      <w:r>
        <w:rPr>
          <w:b w:val="0"/>
          <w:i w:val="0"/>
          <w:sz w:val="20"/>
        </w:rPr>
        <w:t>11) V 12) F — No existe una regla absoluta «5 GHz = más velocidad». En general 2,4 GHz propaga más lejos y 5 GHz ofrece más capacidad/canales, pero el rendimiento depende también del estándar, ancho de canal, interferencia, MIMO, distancia y cliente. 13) F — Esa es la función del router/gateway; el switch conmuta dentro de la LAN. 14) V</w:t>
      </w:r>
    </w:p>
    <w:p>
      <w:pPr>
        <w:spacing w:before="0" w:after="60"/>
        <w:ind w:left="170"/>
        <w:jc w:val="both"/>
      </w:pPr>
      <w:r>
        <w:rPr>
          <w:b w:val="0"/>
          <w:i w:val="0"/>
          <w:sz w:val="20"/>
        </w:rPr>
        <w:t>15) Orientación: ONT (adapta la fibra del proveedor), router (puerta de enlace, DHCP, firewall), switch de 8 puertos o más (5 puestos + access point + enlace al router = 7 bocas, más reserva), access point (Wi-Fi de pacientes, separado de la red de trabajo si es posible); valorar funciones correctas y dimensionamiento.</w:t>
      </w:r>
    </w:p>
    <w:p>
      <w:pPr>
        <w:spacing w:before="0" w:after="60"/>
        <w:ind w:left="170"/>
        <w:jc w:val="both"/>
      </w:pPr>
      <w:r>
        <w:rPr>
          <w:b w:val="0"/>
          <w:i w:val="0"/>
          <w:sz w:val="20"/>
        </w:rPr>
        <w:t>16) Orientación: El canal incluye los cordones de ambos extremos (90 + 10); superarlo degrada la señal y las prestaciones de la categoría aunque el enlace 'funcione': fallas intermitentes y velocidad inferior a la contratada.</w:t>
      </w:r>
    </w:p>
    <w:p>
      <w:pPr>
        <w:pStyle w:val="Ttulo2"/>
      </w:pPr>
      <w:r>
        <w:t>Evaluación integradora de la 2.ª etapa</w:t>
      </w:r>
    </w:p>
    <w:p>
      <w:pPr>
        <w:spacing w:before="0" w:after="60"/>
        <w:jc w:val="both"/>
      </w:pPr>
      <w:r>
        <w:rPr>
          <w:b/>
          <w:i w:val="0"/>
          <w:sz w:val="20"/>
        </w:rPr>
        <w:t xml:space="preserve">Opción correcta: </w:t>
      </w:r>
      <w:r>
        <w:rPr>
          <w:b w:val="0"/>
          <w:i w:val="0"/>
          <w:sz w:val="20"/>
        </w:rPr>
        <w:t>1) b · 2) b · 3) c · 4) b · 5) c</w:t>
      </w:r>
    </w:p>
    <w:p>
      <w:pPr>
        <w:spacing w:before="0" w:after="60"/>
        <w:jc w:val="both"/>
      </w:pPr>
      <w:r>
        <w:rPr>
          <w:b/>
          <w:i w:val="0"/>
          <w:sz w:val="20"/>
        </w:rPr>
        <w:t xml:space="preserve">Completar: </w:t>
      </w:r>
      <w:r>
        <w:rPr>
          <w:b w:val="0"/>
          <w:i w:val="0"/>
          <w:sz w:val="20"/>
        </w:rPr>
        <w:t>6) redes · 7) Wi-Fi · 8) backbone</w:t>
      </w:r>
    </w:p>
    <w:p>
      <w:pPr>
        <w:spacing w:before="0" w:after="60"/>
        <w:jc w:val="both"/>
      </w:pPr>
      <w:r>
        <w:rPr>
          <w:b/>
          <w:i w:val="0"/>
          <w:sz w:val="20"/>
        </w:rPr>
        <w:t xml:space="preserve">V-F: </w:t>
      </w:r>
      <w:r>
        <w:rPr>
          <w:b w:val="0"/>
          <w:i w:val="0"/>
          <w:sz w:val="20"/>
        </w:rPr>
        <w:t>9) V — Es uno de los tres rangos privados de la RFC 1918 (10.0.0.0/8, 172.16.0.0/12 y 192.168.0.0/16). 10) V 11) F — Debe usarse un único esquema en toda la instalación y documentarlo.</w:t>
      </w:r>
    </w:p>
    <w:p>
      <w:pPr>
        <w:spacing w:before="0" w:after="60"/>
        <w:jc w:val="both"/>
      </w:pPr>
      <w:r>
        <w:rPr>
          <w:b/>
          <w:i w:val="0"/>
          <w:sz w:val="20"/>
        </w:rPr>
        <w:t xml:space="preserve">Desarrollo del caso: </w:t>
      </w:r>
      <w:r>
        <w:rPr>
          <w:b w:val="0"/>
          <w:i w:val="0"/>
          <w:sz w:val="20"/>
        </w:rPr>
        <w:t>a) Con la ampliación: 13 PC + impresora + 2 access points + enlace al router = 17 bocas; el switch de 16 no alcanza. Soluciones válidas: reemplazarlo por uno de 24 puertos (recomendable, con reserva) o sumar un segundo switch unido al primero. b) Canal = 47 + 3 + 2 = 52 m: el tendido fijo (47 m) no supera 90 m y el canal no supera 100 m; cumple, con 48 m de margen. c) Actuó DHCP; con ipconfig se ve que los tres primeros números (192.168.10) coinciden con los de la impresora (192.168.10.20) bajo la máscara 255.255.255.0; se confirma con ping 192.168.10.20. d) Se elige el modelo homologado; se verifica en el sitio oficial de CONATEL con el modelo exacto y se registra en la carpeta técnica el modelo, la referencia consultada y la fecha de consulta.</w:t>
      </w:r>
    </w:p>
    <w:p>
      <w:pPr>
        <w:pStyle w:val="Ttulo1"/>
        <w:pageBreakBefore/>
      </w:pPr>
      <w:r>
        <w:t>Tercera parte — Fichas de profundización A–L</w:t>
      </w:r>
    </w:p>
    <w:p>
      <w:pPr>
        <w:spacing w:before="0" w:after="60"/>
        <w:jc w:val="both"/>
      </w:pPr>
      <w:r>
        <w:rPr>
          <w:b w:val="0"/>
          <w:i w:val="0"/>
          <w:sz w:val="20"/>
        </w:rPr>
        <w:t>Estas claves son orientativas pero técnicas: cuando una decisión depende de una ficha de fabricante, el estudiante debe citar la evidencia utilizada.</w:t>
      </w:r>
    </w:p>
    <w:p>
      <w:pPr>
        <w:pStyle w:val="Ttulo2"/>
      </w:pPr>
      <w:r>
        <w:t>Ficha A — Compatibilidad gabinete · placa madre · fuente</w:t>
      </w:r>
    </w:p>
    <w:p>
      <w:pPr>
        <w:spacing w:before="0" w:after="60"/>
        <w:jc w:val="both"/>
      </w:pPr>
      <w:r>
        <w:rPr>
          <w:b w:val="0"/>
          <w:i w:val="0"/>
          <w:sz w:val="20"/>
        </w:rPr>
        <w:t>Debe comprobarse factor de forma de placa y gabinete, formato/espacio de la fuente, conectores y potencia requerida. Una decisión sin especificación no se considera verificada.</w:t>
      </w:r>
    </w:p>
    <w:p>
      <w:pPr>
        <w:pStyle w:val="Ttulo2"/>
      </w:pPr>
      <w:r>
        <w:t>Ficha B — PCIe y M.2: formato, generación y carriles</w:t>
      </w:r>
    </w:p>
    <w:p>
      <w:pPr>
        <w:spacing w:before="0" w:after="60"/>
        <w:jc w:val="both"/>
      </w:pPr>
      <w:r>
        <w:rPr>
          <w:b w:val="0"/>
          <w:i w:val="0"/>
          <w:sz w:val="20"/>
        </w:rPr>
        <w:t>Separar siempre «formato» de «interfaz». PCIe: indicar generación + carriles; M.2: indicar si el zócalo/módulo soporta SATA o PCIe/NVMe y la key correspondiente. Entrar físicamente no demuestra compatibilidad funcional.</w:t>
      </w:r>
    </w:p>
    <w:p>
      <w:pPr>
        <w:pStyle w:val="Ttulo2"/>
      </w:pPr>
      <w:r>
        <w:t>Ficha C — USB-C no es una velocidad</w:t>
      </w:r>
    </w:p>
    <w:p>
      <w:pPr>
        <w:spacing w:before="0" w:after="60"/>
        <w:jc w:val="both"/>
      </w:pPr>
      <w:r>
        <w:rPr>
          <w:b w:val="0"/>
          <w:i w:val="0"/>
          <w:sz w:val="20"/>
        </w:rPr>
        <w:t>Respuesta esperada: USB-C solo identifica el conector reversible. La velocidad y funciones dependen del estándar/controlador/cable; se acepta «no indicado» cuando la ficha del fabricante no lo declara.</w:t>
      </w:r>
    </w:p>
    <w:p>
      <w:pPr>
        <w:pStyle w:val="Ttulo2"/>
      </w:pPr>
      <w:r>
        <w:t>Ficha D — CPU, RAM y placa: cadena de compatibilidad</w:t>
      </w:r>
    </w:p>
    <w:p>
      <w:pPr>
        <w:spacing w:before="0" w:after="60"/>
        <w:jc w:val="both"/>
      </w:pPr>
      <w:r>
        <w:rPr>
          <w:b w:val="0"/>
          <w:i w:val="0"/>
          <w:sz w:val="20"/>
        </w:rPr>
        <w:t>La propuesta debe citar zócalo/chipset/BIOS cuando corresponda, tipo DDR, capacidad máxima y ranuras. No aceptar inferencias del tipo «3200 = DDR4» sin identificación del modelo o especificación.</w:t>
      </w:r>
    </w:p>
    <w:p>
      <w:pPr>
        <w:pStyle w:val="Ttulo2"/>
      </w:pPr>
      <w:r>
        <w:t>Ficha E — Almacenamiento y migración segura</w:t>
      </w:r>
    </w:p>
    <w:p>
      <w:pPr>
        <w:spacing w:before="0" w:after="60"/>
        <w:jc w:val="both"/>
      </w:pPr>
      <w:r>
        <w:rPr>
          <w:b w:val="0"/>
          <w:i w:val="0"/>
          <w:sz w:val="20"/>
        </w:rPr>
        <w:t>55 % de 1 TB ≈ 550 GB usados. Para que quede al menos 20 % libre, el destino mínimo es 550 ÷ 0,8 ≈ 688 GB (aceptar 660 GB si se interpretó como 550 + 20 %); un destino de 1 TB cumple con margen. Debe existir respaldo, copia, verificación y conservación temporal del origen antes de borrar/reutilizar.</w:t>
      </w:r>
    </w:p>
    <w:p>
      <w:pPr>
        <w:pStyle w:val="Ttulo2"/>
      </w:pPr>
      <w:r>
        <w:t>Ficha F — Costo total de impresión</w:t>
      </w:r>
    </w:p>
    <w:p>
      <w:pPr>
        <w:spacing w:before="0" w:after="60"/>
        <w:jc w:val="both"/>
      </w:pPr>
      <w:r>
        <w:rPr>
          <w:b w:val="0"/>
          <w:i w:val="0"/>
          <w:sz w:val="20"/>
        </w:rPr>
        <w:t>Costo/página = costo del insumo ÷ rendimiento. Costo anual aproximado = equipo + consumibles necesarios para el volumen anual (+ mantenimiento si el caso lo da). La recomendación debe usar costo total y volumen.</w:t>
      </w:r>
    </w:p>
    <w:p>
      <w:pPr>
        <w:pStyle w:val="Ttulo2"/>
      </w:pPr>
      <w:r>
        <w:t>Ficha G — Diagnóstico IP paso a paso</w:t>
      </w:r>
    </w:p>
    <w:p>
      <w:pPr>
        <w:spacing w:before="0" w:after="60"/>
        <w:jc w:val="both"/>
      </w:pPr>
      <w:r>
        <w:rPr>
          <w:b w:val="0"/>
          <w:i w:val="0"/>
          <w:sz w:val="20"/>
        </w:rPr>
        <w:t>Si hay ping a una IP pública pero falla un nombre, la conectividad IP existe y el problema probable es resolución DNS/configuración DNS. No modificar parámetros sin autorización.</w:t>
      </w:r>
    </w:p>
    <w:p>
      <w:pPr>
        <w:pStyle w:val="Ttulo2"/>
      </w:pPr>
      <w:r>
        <w:t>Ficha H — Topologías modernas y dominios de falla</w:t>
      </w:r>
    </w:p>
    <w:p>
      <w:pPr>
        <w:spacing w:before="0" w:after="60"/>
        <w:jc w:val="both"/>
      </w:pPr>
      <w:r>
        <w:rPr>
          <w:b w:val="0"/>
          <w:i w:val="0"/>
          <w:sz w:val="20"/>
        </w:rPr>
        <w:t>Cable de una PC: cae esa estación. Switch: cae la LAN conectada a él. Enlace al router: la LAN local puede seguir funcionando pero se pierde acceso a otras redes/internet. El hub histórico sí comparte medio; el switch moderno no se comporta como bus lógico compartido normal.</w:t>
      </w:r>
    </w:p>
    <w:p>
      <w:pPr>
        <w:pStyle w:val="Ttulo2"/>
      </w:pPr>
      <w:r>
        <w:t>Ficha I — Dimensionamiento y BOM de una red pequeña</w:t>
      </w:r>
    </w:p>
    <w:p>
      <w:pPr>
        <w:spacing w:before="0" w:after="60"/>
        <w:jc w:val="both"/>
      </w:pPr>
      <w:r>
        <w:rPr>
          <w:b w:val="0"/>
          <w:i w:val="0"/>
          <w:sz w:val="20"/>
        </w:rPr>
        <w:t>Para 12 PC + impresora + 2 AP + uplink = 16 puertos ocupados; con reserva, un switch de 24 puertos es una elección típica. Se aceptan otras topologías si la cuenta y la justificación son correctas.</w:t>
      </w:r>
    </w:p>
    <w:p>
      <w:pPr>
        <w:pStyle w:val="Ttulo2"/>
      </w:pPr>
      <w:r>
        <w:t>Ficha J — Cat 6, Cat 6A y T568: especificar sin simplificar</w:t>
      </w:r>
    </w:p>
    <w:p>
      <w:pPr>
        <w:spacing w:before="0" w:after="60"/>
        <w:jc w:val="both"/>
      </w:pPr>
      <w:r>
        <w:rPr>
          <w:b w:val="0"/>
          <w:i w:val="0"/>
          <w:sz w:val="20"/>
        </w:rPr>
        <w:t>Aula 1 Gb/s: Cat 6 es suficiente (Cat 5e también puede cumplir, pero Cat 6 ofrece margen). 10 Gb/s a 90 m: elegir Cat 6A. T568A/T568B se documenta; mismo esquema en ambos extremos para un enlace directo convencional. Un certificador mide parámetros de desempeño, no solo continuidad/orden.</w:t>
      </w:r>
    </w:p>
    <w:p>
      <w:pPr>
        <w:pStyle w:val="Ttulo2"/>
      </w:pPr>
      <w:r>
        <w:t>Ficha K — Wi-Fi: cobertura, rendimiento y seguridad</w:t>
      </w:r>
    </w:p>
    <w:p>
      <w:pPr>
        <w:spacing w:before="0" w:after="60"/>
        <w:jc w:val="both"/>
      </w:pPr>
      <w:r>
        <w:rPr>
          <w:b w:val="0"/>
          <w:i w:val="0"/>
          <w:sz w:val="20"/>
        </w:rPr>
        <w:t>La respuesta debe considerar cobertura, interferencia, generación Wi‑Fi, ancho de canal, clientes y seguridad. WPA2/WPA3 según compatibilidad. No aceptar «6 GHz es siempre más rápido» sin condiciones.</w:t>
      </w:r>
    </w:p>
    <w:p>
      <w:pPr>
        <w:pStyle w:val="Ttulo2"/>
      </w:pPr>
      <w:r>
        <w:t>Ficha L — CONATEL y expediente técnico verificable</w:t>
      </w:r>
    </w:p>
    <w:p>
      <w:pPr>
        <w:spacing w:before="0" w:after="60"/>
        <w:jc w:val="both"/>
      </w:pPr>
      <w:r>
        <w:rPr>
          <w:b w:val="0"/>
          <w:i w:val="0"/>
          <w:sz w:val="20"/>
        </w:rPr>
        <w:t>Cada afirmación regulatoria debe incluir fuente oficial y fecha. Ejemplo verificable: CONATEL comunicó el lanzamiento oficial de 5G el 18/12/2025; sus registros posteriores deben consultarse por fecha antes de afirmar operadores o bandas vigentes. Paso 6 (resumen ejecutivo): una página con necesidad, solución, verificaciones, costo y riesgos; se evalúa que abstraiga lo esencial, que cada verificación remita a su anexo y que un directivo pueda decidir sin leer los cálculos.</w:t>
      </w:r>
    </w:p>
    <w:p>
      <w:pPr>
        <w:pStyle w:val="Ttulo1"/>
        <w:pageBreakBefore/>
      </w:pPr>
      <w:r>
        <w:t>Proyecto Final Integrador — Rúbrica analítica y orientaciones</w:t>
      </w:r>
    </w:p>
    <w:p>
      <w:pPr>
        <w:spacing w:before="0" w:after="60"/>
        <w:jc w:val="both"/>
      </w:pPr>
      <w:r>
        <w:rPr>
          <w:b w:val="0"/>
          <w:i w:val="0"/>
          <w:sz w:val="20"/>
        </w:rPr>
        <w:t>Rúbrica analítica de evaluación (los pesos suman 100 %). Cada criterio se califica en uno de cuatro niveles: Logrado, 100 % del peso; En proceso, 60 %; Inicial, 30 %; No presentado, 0 %. Cada descriptor dice qué evidencia observable corresponde al nivel.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76"/>
        <w:gridCol w:w="2635"/>
        <w:gridCol w:w="2372"/>
        <w:gridCol w:w="2240"/>
        <w:gridCol w:w="1581"/>
      </w:tblGrid>
      <w:tr>
        <w:trPr>
          <w:cantSplit/>
          <w:tblHeader/>
        </w:trPr>
        <w:tc>
          <w:tcPr>
            <w:tcW w:type="dxa" w:w="1977"/>
            <w:shd w:val="clear" w:color="auto" w:fill="2E7D32"/>
          </w:tcPr>
          <w:p>
            <w:pPr>
              <w:keepNext/>
            </w:pPr>
            <w:r>
              <w:rPr>
                <w:b/>
                <w:i w:val="0"/>
                <w:color w:val="FFFFFF"/>
                <w:sz w:val="16"/>
              </w:rPr>
              <w:t>Criterio (peso)</w:t>
            </w:r>
          </w:p>
        </w:tc>
        <w:tc>
          <w:tcPr>
            <w:tcW w:type="dxa" w:w="2636"/>
            <w:shd w:val="clear" w:color="auto" w:fill="2E7D32"/>
          </w:tcPr>
          <w:p>
            <w:pPr>
              <w:keepNext/>
            </w:pPr>
            <w:r>
              <w:rPr>
                <w:b/>
                <w:i w:val="0"/>
                <w:color w:val="FFFFFF"/>
                <w:sz w:val="16"/>
              </w:rPr>
              <w:t>Logrado (100 %)</w:t>
            </w:r>
          </w:p>
        </w:tc>
        <w:tc>
          <w:tcPr>
            <w:tcW w:type="dxa" w:w="2372"/>
            <w:shd w:val="clear" w:color="auto" w:fill="2E7D32"/>
          </w:tcPr>
          <w:p>
            <w:pPr>
              <w:keepNext/>
            </w:pPr>
            <w:r>
              <w:rPr>
                <w:b/>
                <w:i w:val="0"/>
                <w:color w:val="FFFFFF"/>
                <w:sz w:val="16"/>
              </w:rPr>
              <w:t>En proceso (60 %)</w:t>
            </w:r>
          </w:p>
        </w:tc>
        <w:tc>
          <w:tcPr>
            <w:tcW w:type="dxa" w:w="2240"/>
            <w:shd w:val="clear" w:color="auto" w:fill="2E7D32"/>
          </w:tcPr>
          <w:p>
            <w:pPr>
              <w:keepNext/>
            </w:pPr>
            <w:r>
              <w:rPr>
                <w:b/>
                <w:i w:val="0"/>
                <w:color w:val="FFFFFF"/>
                <w:sz w:val="16"/>
              </w:rPr>
              <w:t>Inicial (30 %)</w:t>
            </w:r>
          </w:p>
        </w:tc>
        <w:tc>
          <w:tcPr>
            <w:tcW w:type="dxa" w:w="1581"/>
            <w:shd w:val="clear" w:color="auto" w:fill="2E7D32"/>
          </w:tcPr>
          <w:p>
            <w:pPr>
              <w:keepNext/>
            </w:pPr>
            <w:r>
              <w:rPr>
                <w:b/>
                <w:i w:val="0"/>
                <w:color w:val="FFFFFF"/>
                <w:sz w:val="16"/>
              </w:rPr>
              <w:t>No presentado (0 %)</w:t>
            </w:r>
          </w:p>
        </w:tc>
      </w:tr>
      <w:tr>
        <w:trPr>
          <w:cantSplit/>
        </w:trPr>
        <w:tc>
          <w:tcPr>
            <w:tcW w:type="dxa" w:w="1977"/>
          </w:tcPr>
          <w:p>
            <w:pPr>
              <w:keepNext/>
              <w:spacing w:after="0"/>
            </w:pPr>
            <w:r>
              <w:rPr>
                <w:b w:val="0"/>
                <w:i w:val="0"/>
                <w:sz w:val="16"/>
              </w:rPr>
              <w:t>Ficha técnica y plano completos y verificables (25 %)</w:t>
            </w:r>
          </w:p>
        </w:tc>
        <w:tc>
          <w:tcPr>
            <w:tcW w:type="dxa" w:w="2636"/>
          </w:tcPr>
          <w:p>
            <w:pPr>
              <w:keepNext/>
              <w:spacing w:after="0"/>
            </w:pPr>
            <w:r>
              <w:rPr>
                <w:b w:val="0"/>
                <w:i w:val="0"/>
                <w:sz w:val="16"/>
              </w:rPr>
              <w:t>25 pts. Ficha del equipo con cada componente justificado por su función y presupuesto con fórmulas; plano con topología, direcciones, materiales y canales verificados.</w:t>
            </w:r>
          </w:p>
        </w:tc>
        <w:tc>
          <w:tcPr>
            <w:tcW w:type="dxa" w:w="2372"/>
          </w:tcPr>
          <w:p>
            <w:pPr>
              <w:keepNext/>
              <w:spacing w:after="0"/>
            </w:pPr>
            <w:r>
              <w:rPr>
                <w:b w:val="0"/>
                <w:i w:val="0"/>
                <w:sz w:val="16"/>
              </w:rPr>
              <w:t>15 pts. Ficha y plano completos, pero falta justificar dos o tres decisiones o alguna verificación.</w:t>
            </w:r>
          </w:p>
        </w:tc>
        <w:tc>
          <w:tcPr>
            <w:tcW w:type="dxa" w:w="2240"/>
          </w:tcPr>
          <w:p>
            <w:pPr>
              <w:keepNext/>
              <w:spacing w:after="0"/>
            </w:pPr>
            <w:r>
              <w:rPr>
                <w:b w:val="0"/>
                <w:i w:val="0"/>
                <w:sz w:val="16"/>
              </w:rPr>
              <w:t>7,5 pts. Falta una de las dos piezas o la mitad de las verificaciones.</w:t>
            </w:r>
          </w:p>
        </w:tc>
        <w:tc>
          <w:tcPr>
            <w:tcW w:type="dxa" w:w="1581"/>
          </w:tcPr>
          <w:p>
            <w:pPr>
              <w:keepNext/>
              <w:spacing w:after="0"/>
            </w:pPr>
            <w:r>
              <w:rPr>
                <w:b w:val="0"/>
                <w:i w:val="0"/>
                <w:sz w:val="16"/>
              </w:rPr>
              <w:t>0 pts. No entrega ficha ni plano.</w:t>
            </w:r>
          </w:p>
        </w:tc>
      </w:tr>
      <w:tr>
        <w:trPr>
          <w:cantSplit/>
        </w:trPr>
        <w:tc>
          <w:tcPr>
            <w:tcW w:type="dxa" w:w="1977"/>
            <w:shd w:val="clear" w:color="auto" w:fill="F5F5F5"/>
          </w:tcPr>
          <w:p>
            <w:pPr>
              <w:keepNext/>
              <w:spacing w:after="0"/>
            </w:pPr>
            <w:r>
              <w:rPr>
                <w:b w:val="0"/>
                <w:i w:val="0"/>
                <w:sz w:val="16"/>
              </w:rPr>
              <w:t>Aplicación de los contenidos del año (25 %)</w:t>
            </w:r>
          </w:p>
        </w:tc>
        <w:tc>
          <w:tcPr>
            <w:tcW w:type="dxa" w:w="2636"/>
            <w:shd w:val="clear" w:color="auto" w:fill="F5F5F5"/>
          </w:tcPr>
          <w:p>
            <w:pPr>
              <w:keepNext/>
              <w:spacing w:after="0"/>
            </w:pPr>
            <w:r>
              <w:rPr>
                <w:b w:val="0"/>
                <w:i w:val="0"/>
                <w:sz w:val="16"/>
              </w:rPr>
              <w:t>25 pts. Aplica correctamente compatibilidad de componentes, dimensionamiento de switch, regla de los 100 metros y homologación, con cálculos sin errores.</w:t>
            </w:r>
          </w:p>
        </w:tc>
        <w:tc>
          <w:tcPr>
            <w:tcW w:type="dxa" w:w="2372"/>
            <w:shd w:val="clear" w:color="auto" w:fill="F5F5F5"/>
          </w:tcPr>
          <w:p>
            <w:pPr>
              <w:keepNext/>
              <w:spacing w:after="0"/>
            </w:pPr>
            <w:r>
              <w:rPr>
                <w:b w:val="0"/>
                <w:i w:val="0"/>
                <w:sz w:val="16"/>
              </w:rPr>
              <w:t>15 pts. Aplica la mayoría de los criterios; hay un error de cálculo o un criterio sin aplicar.</w:t>
            </w:r>
          </w:p>
        </w:tc>
        <w:tc>
          <w:tcPr>
            <w:tcW w:type="dxa" w:w="2240"/>
            <w:shd w:val="clear" w:color="auto" w:fill="F5F5F5"/>
          </w:tcPr>
          <w:p>
            <w:pPr>
              <w:keepNext/>
              <w:spacing w:after="0"/>
            </w:pPr>
            <w:r>
              <w:rPr>
                <w:b w:val="0"/>
                <w:i w:val="0"/>
                <w:sz w:val="16"/>
              </w:rPr>
              <w:t>7,5 pts. Aplica pocos criterios o con errores que cambian la decisión.</w:t>
            </w:r>
          </w:p>
        </w:tc>
        <w:tc>
          <w:tcPr>
            <w:tcW w:type="dxa" w:w="1581"/>
            <w:shd w:val="clear" w:color="auto" w:fill="F5F5F5"/>
          </w:tcPr>
          <w:p>
            <w:pPr>
              <w:keepNext/>
              <w:spacing w:after="0"/>
            </w:pPr>
            <w:r>
              <w:rPr>
                <w:b w:val="0"/>
                <w:i w:val="0"/>
                <w:sz w:val="16"/>
              </w:rPr>
              <w:t>0 pts. No hay evidencia de aplicación.</w:t>
            </w:r>
          </w:p>
        </w:tc>
      </w:tr>
      <w:tr>
        <w:trPr>
          <w:cantSplit/>
        </w:trPr>
        <w:tc>
          <w:tcPr>
            <w:tcW w:type="dxa" w:w="1977"/>
          </w:tcPr>
          <w:p>
            <w:pPr>
              <w:keepNext/>
              <w:spacing w:after="0"/>
            </w:pPr>
            <w:r>
              <w:rPr>
                <w:b w:val="0"/>
                <w:i w:val="0"/>
                <w:sz w:val="16"/>
              </w:rPr>
              <w:t>Integración interdisciplinaria (20 %)</w:t>
            </w:r>
          </w:p>
        </w:tc>
        <w:tc>
          <w:tcPr>
            <w:tcW w:type="dxa" w:w="2636"/>
          </w:tcPr>
          <w:p>
            <w:pPr>
              <w:keepNext/>
              <w:spacing w:after="0"/>
            </w:pPr>
            <w:r>
              <w:rPr>
                <w:b w:val="0"/>
                <w:i w:val="0"/>
                <w:sz w:val="16"/>
              </w:rPr>
              <w:t>20 pts. Los puestos, equipos y red coinciden con el sistema de las otras materias (algoritmo, base de datos, presupuesto).</w:t>
            </w:r>
          </w:p>
        </w:tc>
        <w:tc>
          <w:tcPr>
            <w:tcW w:type="dxa" w:w="2372"/>
          </w:tcPr>
          <w:p>
            <w:pPr>
              <w:keepNext/>
              <w:spacing w:after="0"/>
            </w:pPr>
            <w:r>
              <w:rPr>
                <w:b w:val="0"/>
                <w:i w:val="0"/>
                <w:sz w:val="16"/>
              </w:rPr>
              <w:t>12 pts. La integración existe, pero hay una incoherencia menor (por ejemplo, un puesto de más o de menos).</w:t>
            </w:r>
          </w:p>
        </w:tc>
        <w:tc>
          <w:tcPr>
            <w:tcW w:type="dxa" w:w="2240"/>
          </w:tcPr>
          <w:p>
            <w:pPr>
              <w:keepNext/>
              <w:spacing w:after="0"/>
            </w:pPr>
            <w:r>
              <w:rPr>
                <w:b w:val="0"/>
                <w:i w:val="0"/>
                <w:sz w:val="16"/>
              </w:rPr>
              <w:t>6 pts. La especificación no se relaciona con el sistema de las otras materias.</w:t>
            </w:r>
          </w:p>
        </w:tc>
        <w:tc>
          <w:tcPr>
            <w:tcW w:type="dxa" w:w="1581"/>
          </w:tcPr>
          <w:p>
            <w:pPr>
              <w:keepNext/>
              <w:spacing w:after="0"/>
            </w:pPr>
            <w:r>
              <w:rPr>
                <w:b w:val="0"/>
                <w:i w:val="0"/>
                <w:sz w:val="16"/>
              </w:rPr>
              <w:t>0 pts. No hay integración.</w:t>
            </w:r>
          </w:p>
        </w:tc>
      </w:tr>
      <w:tr>
        <w:trPr>
          <w:cantSplit/>
        </w:trPr>
        <w:tc>
          <w:tcPr>
            <w:tcW w:type="dxa" w:w="1977"/>
            <w:shd w:val="clear" w:color="auto" w:fill="F5F5F5"/>
          </w:tcPr>
          <w:p>
            <w:pPr>
              <w:keepNext/>
              <w:spacing w:after="0"/>
            </w:pPr>
            <w:r>
              <w:rPr>
                <w:b w:val="0"/>
                <w:i w:val="0"/>
                <w:sz w:val="16"/>
              </w:rPr>
              <w:t>Presentación en la feria (15 %)</w:t>
            </w:r>
          </w:p>
        </w:tc>
        <w:tc>
          <w:tcPr>
            <w:tcW w:type="dxa" w:w="2636"/>
            <w:shd w:val="clear" w:color="auto" w:fill="F5F5F5"/>
          </w:tcPr>
          <w:p>
            <w:pPr>
              <w:keepNext/>
              <w:spacing w:after="0"/>
            </w:pPr>
            <w:r>
              <w:rPr>
                <w:b w:val="0"/>
                <w:i w:val="0"/>
                <w:sz w:val="16"/>
              </w:rPr>
              <w:t>15 pts. Explica con claridad el plano y la ficha, responde preguntas técnicas y usa vocabulario preciso.</w:t>
            </w:r>
          </w:p>
        </w:tc>
        <w:tc>
          <w:tcPr>
            <w:tcW w:type="dxa" w:w="2372"/>
            <w:shd w:val="clear" w:color="auto" w:fill="F5F5F5"/>
          </w:tcPr>
          <w:p>
            <w:pPr>
              <w:keepNext/>
              <w:spacing w:after="0"/>
            </w:pPr>
            <w:r>
              <w:rPr>
                <w:b w:val="0"/>
                <w:i w:val="0"/>
                <w:sz w:val="16"/>
              </w:rPr>
              <w:t>9 pts. Explica con claridad, pero duda en las preguntas técnicas.</w:t>
            </w:r>
          </w:p>
        </w:tc>
        <w:tc>
          <w:tcPr>
            <w:tcW w:type="dxa" w:w="2240"/>
            <w:shd w:val="clear" w:color="auto" w:fill="F5F5F5"/>
          </w:tcPr>
          <w:p>
            <w:pPr>
              <w:keepNext/>
              <w:spacing w:after="0"/>
            </w:pPr>
            <w:r>
              <w:rPr>
                <w:b w:val="0"/>
                <w:i w:val="0"/>
                <w:sz w:val="16"/>
              </w:rPr>
              <w:t>4,5 pts. Lee sin explicar o confunde conceptos.</w:t>
            </w:r>
          </w:p>
        </w:tc>
        <w:tc>
          <w:tcPr>
            <w:tcW w:type="dxa" w:w="1581"/>
            <w:shd w:val="clear" w:color="auto" w:fill="F5F5F5"/>
          </w:tcPr>
          <w:p>
            <w:pPr>
              <w:keepNext/>
              <w:spacing w:after="0"/>
            </w:pPr>
            <w:r>
              <w:rPr>
                <w:b w:val="0"/>
                <w:i w:val="0"/>
                <w:sz w:val="16"/>
              </w:rPr>
              <w:t>0 pts. No presenta.</w:t>
            </w:r>
          </w:p>
        </w:tc>
      </w:tr>
      <w:tr>
        <w:trPr>
          <w:cantSplit/>
        </w:trPr>
        <w:tc>
          <w:tcPr>
            <w:tcW w:type="dxa" w:w="1977"/>
          </w:tcPr>
          <w:p>
            <w:pPr>
              <w:spacing w:after="0"/>
            </w:pPr>
            <w:r>
              <w:rPr>
                <w:b w:val="0"/>
                <w:i w:val="0"/>
                <w:sz w:val="16"/>
              </w:rPr>
              <w:t>Trabajo en equipo (15 %)</w:t>
            </w:r>
          </w:p>
        </w:tc>
        <w:tc>
          <w:tcPr>
            <w:tcW w:type="dxa" w:w="2636"/>
          </w:tcPr>
          <w:p>
            <w:pPr>
              <w:spacing w:after="0"/>
            </w:pPr>
            <w:r>
              <w:rPr>
                <w:b w:val="0"/>
                <w:i w:val="0"/>
                <w:sz w:val="16"/>
              </w:rPr>
              <w:t>15 pts. Roles definidos y cumplidos; cada integrante explica su aporte; registro de avances completo.</w:t>
            </w:r>
          </w:p>
        </w:tc>
        <w:tc>
          <w:tcPr>
            <w:tcW w:type="dxa" w:w="2372"/>
          </w:tcPr>
          <w:p>
            <w:pPr>
              <w:spacing w:after="0"/>
            </w:pPr>
            <w:r>
              <w:rPr>
                <w:b w:val="0"/>
                <w:i w:val="0"/>
                <w:sz w:val="16"/>
              </w:rPr>
              <w:t>9 pts. Roles definidos, pero el aporte es desparejo.</w:t>
            </w:r>
          </w:p>
        </w:tc>
        <w:tc>
          <w:tcPr>
            <w:tcW w:type="dxa" w:w="2240"/>
          </w:tcPr>
          <w:p>
            <w:pPr>
              <w:spacing w:after="0"/>
            </w:pPr>
            <w:r>
              <w:rPr>
                <w:b w:val="0"/>
                <w:i w:val="0"/>
                <w:sz w:val="16"/>
              </w:rPr>
              <w:t>4,5 pts. El trabajo recae en uno o dos integrantes.</w:t>
            </w:r>
          </w:p>
        </w:tc>
        <w:tc>
          <w:tcPr>
            <w:tcW w:type="dxa" w:w="1581"/>
          </w:tcPr>
          <w:p>
            <w:pPr>
              <w:spacing w:after="0"/>
            </w:pPr>
            <w:r>
              <w:rPr>
                <w:b w:val="0"/>
                <w:i w:val="0"/>
                <w:sz w:val="16"/>
              </w:rPr>
              <w:t>0 pts. No hay evidencia de trabajo en equipo.</w:t>
            </w:r>
          </w:p>
        </w:tc>
      </w:tr>
    </w:tbl>
    <w:p>
      <w:pPr>
        <w:spacing w:after="80" w:before="0"/>
      </w:pPr>
      <w:r>
        <w:rPr>
          <w:sz w:val="8"/>
        </w:rPr>
      </w:r>
    </w:p>
    <w:p>
      <w:pPr>
        <w:spacing w:before="0" w:after="60"/>
        <w:jc w:val="both"/>
      </w:pPr>
      <w:r>
        <w:rPr>
          <w:b w:val="0"/>
          <w:i w:val="0"/>
          <w:sz w:val="20"/>
        </w:rPr>
        <w:t>Puntaje total: suma de los cinco criterios (máximo 100 puntos).</w:t>
      </w:r>
    </w:p>
    <w:p>
      <w:pPr>
        <w:pStyle w:val="Ttulo3"/>
      </w:pPr>
      <w:r>
        <w:t>Orientaciones</w:t>
      </w:r>
    </w:p>
    <w:p>
      <w:pPr>
        <w:spacing w:before="0" w:after="60"/>
        <w:ind w:left="170"/>
        <w:jc w:val="both"/>
      </w:pPr>
      <w:r>
        <w:rPr>
          <w:b w:val="0"/>
          <w:i w:val="0"/>
          <w:sz w:val="20"/>
        </w:rPr>
        <w:t>• Lanzar el proyecto al inicio de la 2.ª etapa, cuando la Unidad 2 arranca: cada práctica de la unidad produce una pieza reutilizable del proyecto.</w:t>
      </w:r>
    </w:p>
    <w:p>
      <w:pPr>
        <w:spacing w:before="0" w:after="60"/>
        <w:ind w:left="170"/>
        <w:jc w:val="both"/>
      </w:pPr>
      <w:r>
        <w:rPr>
          <w:b w:val="0"/>
          <w:i w:val="0"/>
          <w:sz w:val="20"/>
        </w:rPr>
        <w:t>• Coordinar con los docentes de Algorítmica, Laboratorio, Hardware y Matemática para que todos los equipos trabajen el mismo emprendimiento por equipo.</w:t>
      </w:r>
    </w:p>
    <w:p>
      <w:pPr>
        <w:spacing w:before="0" w:after="60"/>
        <w:ind w:left="170"/>
        <w:jc w:val="both"/>
      </w:pPr>
      <w:r>
        <w:rPr>
          <w:b w:val="0"/>
          <w:i w:val="0"/>
          <w:sz w:val="20"/>
        </w:rPr>
        <w:t>• Exigir coherencia transversal: los puestos del plano de red deben coincidir con los del presupuesto y con los del sistema que presentan las otras materias.</w:t>
      </w:r>
    </w:p>
    <w:p>
      <w:pPr>
        <w:spacing w:before="0" w:after="60"/>
        <w:ind w:left="170"/>
        <w:jc w:val="both"/>
      </w:pPr>
      <w:r>
        <w:rPr>
          <w:b w:val="0"/>
          <w:i w:val="0"/>
          <w:sz w:val="20"/>
        </w:rPr>
        <w:t>• En la ficha técnica, valorar la justificación de cada componente por su función en el sistema (por ejemplo, impresora térmica para los tickets), no la potencia porque sí.</w:t>
      </w:r>
    </w:p>
    <w:p>
      <w:pPr>
        <w:spacing w:before="0" w:after="60"/>
        <w:ind w:left="170"/>
        <w:jc w:val="both"/>
      </w:pPr>
      <w:r>
        <w:rPr>
          <w:b w:val="0"/>
          <w:i w:val="0"/>
          <w:sz w:val="20"/>
        </w:rPr>
        <w:t>• La verificación de homologación puede documentarse con una captura o cita del sitio de CONATEL con fecha de consulta.</w:t>
      </w:r>
    </w:p>
    <w:sectPr>
      <w:footerReference w:type="default" r:id="rId10"/>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16" w:before="60"/>
      <w:ind w:left="0"/>
    </w:pPr>
    <w:rPr>
      <w:rFonts w:ascii="Arial" w:hAnsi="Arial"/>
      <w:b/>
      <w:sz w:val="19"/>
    </w:rPr>
  </w:style>
  <w:style w:type="paragraph" w:styleId="TDC2">
    <w:name w:val="toc 2"/>
    <w:basedOn w:val="Normal"/>
    <w:next w:val="Normal"/>
    <w:autoRedefine/>
    <w:uiPriority w:val="39"/>
    <w:unhideWhenUsed/>
    <w:rsid w:val="00EE1427"/>
    <w:pPr>
      <w:spacing w:after="16"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1.jpg"/><Relationship Id="rId9" Type="http://schemas.openxmlformats.org/officeDocument/2006/relationships/header" Target="head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Gabinete de Informática – Software · 2.º Curso · Solucionario del docente</dc:title>
  <dc:subject>Material exclusivo del docente</dc:subject>
  <dc:creator>Equipo editorial</dc:creator>
  <cp:keywords>BTI; Gabinete de Informática; Software; solucionario</cp:keywords>
  <dc:description/>
  <cp:lastModifiedBy>Equipo editorial</cp:lastModifiedBy>
  <cp:revision>1</cp:revision>
  <cp:lastPrinted>2026-07-31T14:18:00Z</cp:lastPrinted>
  <dcterms:created xsi:type="dcterms:W3CDTF">2026-10-11T12:00:00Z</dcterms:created>
  <dcterms:modified xsi:type="dcterms:W3CDTF">2026-10-11T12:00:00Z</dcterms:modified>
  <cp:category/>
</cp:coreProperties>
</file>