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Fernando Ramos Bade - Turma 06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Checkpoint 02 -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NakedBank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vez, você foi contratado pelo banco digital 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NakedBank </w:t>
      </w:r>
      <w:r w:rsidDel="00000000" w:rsidR="00000000" w:rsidRPr="00000000">
        <w:rPr>
          <w:sz w:val="24"/>
          <w:szCs w:val="24"/>
          <w:rtl w:val="0"/>
        </w:rPr>
        <w:t xml:space="preserve">e tem o desafio de organizar os principais processos de gerência de contas e facilitar o processo de abertura e consulta de contas pelos gerentes comerciais.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possui seu número de registro no Banco Central, CNPJ, uma única agência matriz onde todas as contas são abertas, e também é importante que seja possível listar as contas pelo saldo, do maior para o menor, pois é assim que os gerentes selecionam clientes para tentar novos negócios. Importante que para melhor visualização e otimizar o trabalho dos gerentes, a lista seja impressa com todos os dados da conta, formatados corretamente.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contas possuem como padrão: o número (que deve ser um número aleatório de 5 dígitos), nome completo do titular, CPF, endereço, profissão e renda mensal. Dentre as opções de conta, o cliente pode escolher pela conta corrente, conta poupança e conta investimento. Em todas elas é possível sacar, depositar e transferir dinheiro. No caso de saques e transferências, o sistema deve lançar um erro no caso de saldo insuficiente.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conta corrente o cliente pode solicitar diretamente pelo app um novo cartão de crédito, e após confirmar e redigir seus dados, automaticamente recebe a resposta de sua solicitação. Caso o cliente peça um limite que seja até 50% do valor de sua renda mensal, o cartão é aprovado e caso o valor ultrapasse esta regra, lança um erro específico informando o cliente.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na conta investimento, o cliente pode consultar a rentabilidade de suas operações, que são, respectivamente: 5% para investimentos totais de até R$20.000,00; 10% para investimentos totais de até R$50.000,00 e 15% de rentabilidade para investimentos maiores que R$100.000,00.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