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 ARTÍCULOS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Desarrollado por: </w:t>
      </w:r>
      <w:r w:rsidDel="00000000" w:rsidR="00000000" w:rsidRPr="00000000">
        <w:rPr>
          <w:rtl w:val="0"/>
        </w:rPr>
        <w:t xml:space="preserve">Gerardo Valderrama (8-981-655)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Fernando Cutire</w:t>
      </w:r>
      <w:r w:rsidDel="00000000" w:rsidR="00000000" w:rsidRPr="00000000">
        <w:rPr>
          <w:rtl w:val="0"/>
        </w:rPr>
        <w:t xml:space="preserve"> (8-972-90)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Hellynger St Rose (8-963-372)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Carlos Lambraño (8-957-2142)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c5fjdc4w1ua" w:id="0"/>
      <w:bookmarkEnd w:id="0"/>
      <w:r w:rsidDel="00000000" w:rsidR="00000000" w:rsidRPr="00000000">
        <w:rPr>
          <w:rtl w:val="0"/>
        </w:rPr>
        <w:t xml:space="preserve">Artículo 17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“Las autoridades de la República están instituidas para proteger en su vida, honra y bienes a los nacionales dondequiera se encuentren y a los extranjeros que estén bajo su jurisdicción; asegurar la efectividad de los derechos y deberes individuales y sociales, y cumplir y hacer cumplir la Constitución y la Ley.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Los derechos y garantías que consagra esta Constitución, deben considerarse como mínimos y no excluyentes de otros que incidan sobre los derechos fundamentales y la dignidad de la persona.”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left"/>
        <w:rPr/>
      </w:pPr>
      <w:bookmarkStart w:colFirst="0" w:colLast="0" w:name="_shnftvoqwfam" w:id="1"/>
      <w:bookmarkEnd w:id="1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autoridades panameñas deben proteger a los ciudadanos y extranjeros que se encuentren bajo su jurisdicción/mandato. Esta protección incluye garantizar los derechos estipulados en la Constitución, pues son considerados mínimos y </w:t>
      </w:r>
      <w:r w:rsidDel="00000000" w:rsidR="00000000" w:rsidRPr="00000000">
        <w:rPr>
          <w:i w:val="1"/>
          <w:rtl w:val="0"/>
        </w:rPr>
        <w:t xml:space="preserve">universales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og2eztl6tg1c" w:id="2"/>
      <w:bookmarkEnd w:id="2"/>
      <w:r w:rsidDel="00000000" w:rsidR="00000000" w:rsidRPr="00000000">
        <w:rPr>
          <w:rtl w:val="0"/>
        </w:rPr>
        <w:t xml:space="preserve">Artículo 19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No habrá fueros o privilegios ni discriminación por razón de raza, nacimiento, discapacidad, clase social, sexo, religión o ideas políticas.”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64w06popesnf" w:id="3"/>
      <w:bookmarkEnd w:id="3"/>
      <w:r w:rsidDel="00000000" w:rsidR="00000000" w:rsidRPr="00000000">
        <w:rPr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Todos los ciudadanos (y extranjeros </w:t>
      </w:r>
      <w:commentRangeStart w:id="0"/>
      <w:r w:rsidDel="00000000" w:rsidR="00000000" w:rsidRPr="00000000">
        <w:rPr>
          <w:rtl w:val="0"/>
        </w:rPr>
        <w:t xml:space="preserve">bajo la jurisdicción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 serán tratados de igual forma ante la Ley. Esto quiere decir que no existirán ni privilegios ni discriminación de ningún tipo.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911a3ffie8pr" w:id="4"/>
      <w:bookmarkEnd w:id="4"/>
      <w:r w:rsidDel="00000000" w:rsidR="00000000" w:rsidRPr="00000000">
        <w:rPr>
          <w:rtl w:val="0"/>
        </w:rPr>
        <w:t xml:space="preserve">Artículo 26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“El domicilio o residencia son inviolables. Nadie puede entrar en ellos sin el consentimiento de su dueño, a no ser por mandato escrito de autoridad competente y para fines específicos, o para socorrer a víctimas de crímenes o desastres.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Los servidores públicos de trabajo, de seguridad social y de sanidad pueden practicar, previa identificación, visitas domiciliarias o de inspección, a los sitios de trabajo con el fin de velar por el cumplimiento de las Leyes sociales y de salud pública.”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gceiqsfskm9" w:id="5"/>
      <w:bookmarkEnd w:id="5"/>
      <w:r w:rsidDel="00000000" w:rsidR="00000000" w:rsidRPr="00000000">
        <w:rPr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Cuando nos referimos a domicilio o residencia, entendemos los hogares y locales privados. Conocemos que nuestro hogar tiene seguridad y este artículo muestra que entrar en casas ajenas está prohibido por la ley.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yilqsk1p4ltz" w:id="6"/>
      <w:bookmarkEnd w:id="6"/>
      <w:r w:rsidDel="00000000" w:rsidR="00000000" w:rsidRPr="00000000">
        <w:rPr>
          <w:rtl w:val="0"/>
        </w:rPr>
        <w:t xml:space="preserve">Artículo 29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“La correspondencia y demás documentos privados son inviolables y no pueden ser examinados ni retenidos, sino por mandato de autoridad competente y para fines específicos, de acuerdo con las formalidades legales. En todo caso, se guardará absoluta reserva sobre los asuntos ajenos al objeto del examen o de la retención.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registro de cartas y demás documentos o papeles se practicará siempre en presencia del interesado o de una persona de su familia o, en su defecto, de dos vecinos honorables del mismo lugar.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Todas las comunicaciones privadas son inviolables y no podrán ser interceptadas o grabadas, sino por mandato de autoridad judicial.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incumplimiento de esta disposición impedirá la utilización de sus resultados como pruebas, sin perjuicio de las responsabilidades penales en que incurran los autores.”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trlddybcbhbz" w:id="7"/>
      <w:bookmarkEnd w:id="7"/>
      <w:r w:rsidDel="00000000" w:rsidR="00000000" w:rsidRPr="00000000">
        <w:rPr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Este artículo nos habla sobre la privacidad de las personas donde los objetos, comunicación y documentos no pueden ser revisados o utilizados por</w:t>
      </w:r>
      <w:r w:rsidDel="00000000" w:rsidR="00000000" w:rsidRPr="00000000">
        <w:rPr>
          <w:rtl w:val="0"/>
        </w:rPr>
        <w:t xml:space="preserve"> otra</w:t>
      </w:r>
      <w:r w:rsidDel="00000000" w:rsidR="00000000" w:rsidRPr="00000000">
        <w:rPr>
          <w:rtl w:val="0"/>
        </w:rPr>
        <w:t xml:space="preserve"> persona sin autorización o por mandato de la autoridad. En el caso de las comunicaciones existen los casos de “pinchazos telefónico” que violan esta ley; El caso de los celulares siendo algo personal y privado, personas cercanas como desconocidas pueden tomarlo para adueñarse de este sin la autorización del propietario. Hay casos en el que la autoridad competente necesita, ya sea el teléfono, documentos o alguna prueba de propiedad privada que los ayude a resolver algún caso o investigación; en ese caso el artículo si permite que el dueño se lo entregue a las autoridades.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xvyu5u2r8hd2" w:id="8"/>
      <w:bookmarkEnd w:id="8"/>
      <w:r w:rsidDel="00000000" w:rsidR="00000000" w:rsidRPr="00000000">
        <w:rPr>
          <w:rtl w:val="0"/>
        </w:rPr>
        <w:t xml:space="preserve">Artículo 31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“Sólo serán penados los hechos declarados punibles por Ley anterior a su perpetración y exactamente aplicable al acto imputado.”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i296opqbu19h" w:id="9"/>
      <w:bookmarkEnd w:id="9"/>
      <w:r w:rsidDel="00000000" w:rsidR="00000000" w:rsidRPr="00000000">
        <w:rPr>
          <w:rtl w:val="0"/>
        </w:rPr>
        <w:t xml:space="preserve">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Este artículo nos dice que solo pueden ser juzgados los actos como delitos a aquellos que ya están establecidos en el código penal. Por ejemplo, si hoy robar no está escrito en el código penal como un delito no hay ninguna forma o manera de que alguien pueda acusar a un ladrón.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 resumen solo pueden acusar como delito a una persona por aquellos actos que uno cometa siempre y cuando los cometiste ya hayan estado escrito en el codigo penal o en la ley.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rardo Valderrama" w:id="0" w:date="2022-04-14T00:47:35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 habiten en Panamá"** según las palabras del Scoo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