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Relatório técnico de implementação e validação</w:t>
      </w:r>
    </w:p>
    <w:p>
      <w:r>
        <w:t>Desafios de automação de API REST e Mobile | Relatório de entrega — outubro de 2026</w:t>
      </w:r>
    </w:p>
    <w:p>
      <w:r>
        <w:t>Autor: Fernando Damasio Alves | Entrega prevista: 16/10/2026</w:t>
      </w:r>
    </w:p>
    <w:p>
      <w:pPr>
        <w:pStyle w:val="Heading1"/>
      </w:pPr>
      <w:r>
        <w:t>Resumo executivo</w:t>
      </w:r>
    </w:p>
    <w:p>
      <w:r>
        <w:t>Implementei duas suítes de automação independentes, uma para API REST e outra para aplicativo Mobile Android. Executei e validei localmente 23 testes de API e dez testes Android. Além disso, comprovei a execução automatizada dos 23 testes de API em um runner GitLab, com validação TypeScript e publicação do relatório JUnit.</w:t>
      </w:r>
    </w:p>
    <w:tbl>
      <w:tblPr>
        <w:tblStyle w:val="LightShading-Accent1"/>
        <w:tblW w:type="auto" w:w="0"/>
        <w:jc w:val="center"/>
        <w:tblLook w:firstColumn="1" w:firstRow="1" w:lastColumn="0" w:lastRow="0" w:noHBand="0" w:noVBand="1" w:val="04A0"/>
      </w:tblPr>
      <w:tblGrid>
        <w:gridCol w:w="5011"/>
        <w:gridCol w:w="5011"/>
      </w:tblGrid>
      <w:tr>
        <w:tc>
          <w:tcPr>
            <w:tcW w:type="dxa" w:w="5011"/>
          </w:tcPr>
          <w:p>
            <w:pPr>
              <w:spacing w:after="20"/>
            </w:pPr>
            <w:r>
              <w:rPr>
                <w:b/>
                <w:sz w:val="14"/>
              </w:rPr>
              <w:t>Indicador</w:t>
            </w:r>
          </w:p>
        </w:tc>
        <w:tc>
          <w:tcPr>
            <w:tcW w:type="dxa" w:w="5011"/>
          </w:tcPr>
          <w:p>
            <w:pPr>
              <w:spacing w:after="20"/>
            </w:pPr>
            <w:r>
              <w:rPr>
                <w:b/>
                <w:sz w:val="14"/>
              </w:rPr>
              <w:t>Resultado comprovado</w:t>
            </w:r>
          </w:p>
        </w:tc>
      </w:tr>
      <w:tr>
        <w:tc>
          <w:tcPr>
            <w:tcW w:type="dxa" w:w="5011"/>
            <w:vAlign w:val="center"/>
          </w:tcPr>
          <w:p>
            <w:pPr>
              <w:spacing w:after="20"/>
            </w:pPr>
            <w:r>
              <w:rPr>
                <w:sz w:val="14"/>
              </w:rPr>
              <w:t>API — execução local</w:t>
            </w:r>
          </w:p>
        </w:tc>
        <w:tc>
          <w:tcPr>
            <w:tcW w:type="dxa" w:w="5011"/>
            <w:vAlign w:val="center"/>
          </w:tcPr>
          <w:p>
            <w:pPr>
              <w:spacing w:after="20"/>
            </w:pPr>
            <w:r>
              <w:rPr>
                <w:sz w:val="14"/>
              </w:rPr>
              <w:t>23/23 aprovados em 7 arquivos; TypeScript sem erros</w:t>
            </w:r>
          </w:p>
        </w:tc>
      </w:tr>
      <w:tr>
        <w:tc>
          <w:tcPr>
            <w:tcW w:type="dxa" w:w="5011"/>
            <w:vAlign w:val="center"/>
          </w:tcPr>
          <w:p>
            <w:pPr>
              <w:spacing w:after="20"/>
            </w:pPr>
            <w:r>
              <w:rPr>
                <w:sz w:val="14"/>
              </w:rPr>
              <w:t>API — GitLab CI/CD</w:t>
            </w:r>
          </w:p>
        </w:tc>
        <w:tc>
          <w:tcPr>
            <w:tcW w:type="dxa" w:w="5011"/>
            <w:vAlign w:val="center"/>
          </w:tcPr>
          <w:p>
            <w:pPr>
              <w:spacing w:after="20"/>
            </w:pPr>
            <w:r>
              <w:rPr>
                <w:sz w:val="14"/>
              </w:rPr>
              <w:t>Pipeline #2944807970 aprovada; job api_tests #17157098608; 23 testes e JUnit</w:t>
            </w:r>
          </w:p>
        </w:tc>
      </w:tr>
      <w:tr>
        <w:tc>
          <w:tcPr>
            <w:tcW w:type="dxa" w:w="5011"/>
            <w:vAlign w:val="center"/>
          </w:tcPr>
          <w:p>
            <w:pPr>
              <w:spacing w:after="20"/>
            </w:pPr>
            <w:r>
              <w:rPr>
                <w:sz w:val="14"/>
              </w:rPr>
              <w:t>Mobile Android — execução local</w:t>
            </w:r>
          </w:p>
        </w:tc>
        <w:tc>
          <w:tcPr>
            <w:tcW w:type="dxa" w:w="5011"/>
            <w:vAlign w:val="center"/>
          </w:tcPr>
          <w:p>
            <w:pPr>
              <w:spacing w:after="20"/>
            </w:pPr>
            <w:r>
              <w:rPr>
                <w:sz w:val="14"/>
              </w:rPr>
              <w:t>10/10 aprovados em 6 arquivos; evidências Allure</w:t>
            </w:r>
          </w:p>
        </w:tc>
      </w:tr>
      <w:tr>
        <w:tc>
          <w:tcPr>
            <w:tcW w:type="dxa" w:w="5011"/>
            <w:vAlign w:val="center"/>
          </w:tcPr>
          <w:p>
            <w:pPr>
              <w:spacing w:after="20"/>
            </w:pPr>
            <w:r>
              <w:rPr>
                <w:sz w:val="14"/>
              </w:rPr>
              <w:t>Total de execuções automatizadas aprovadas</w:t>
            </w:r>
          </w:p>
        </w:tc>
        <w:tc>
          <w:tcPr>
            <w:tcW w:type="dxa" w:w="5011"/>
            <w:vAlign w:val="center"/>
          </w:tcPr>
          <w:p>
            <w:pPr>
              <w:spacing w:after="20"/>
            </w:pPr>
            <w:r>
              <w:rPr>
                <w:sz w:val="14"/>
              </w:rPr>
              <w:t>33 (23 API + 10 Android)</w:t>
            </w:r>
          </w:p>
        </w:tc>
      </w:tr>
      <w:tr>
        <w:tc>
          <w:tcPr>
            <w:tcW w:type="dxa" w:w="5011"/>
            <w:vAlign w:val="center"/>
          </w:tcPr>
          <w:p>
            <w:pPr>
              <w:spacing w:after="20"/>
            </w:pPr>
            <w:r>
              <w:rPr>
                <w:sz w:val="14"/>
              </w:rPr>
              <w:t>iOS</w:t>
            </w:r>
          </w:p>
        </w:tc>
        <w:tc>
          <w:tcPr>
            <w:tcW w:type="dxa" w:w="5011"/>
            <w:vAlign w:val="center"/>
          </w:tcPr>
          <w:p>
            <w:pPr>
              <w:spacing w:after="20"/>
            </w:pPr>
            <w:r>
              <w:rPr>
                <w:sz w:val="14"/>
              </w:rPr>
              <w:t>Configuração inicial preparada; não executado</w:t>
            </w:r>
          </w:p>
        </w:tc>
      </w:tr>
      <w:tr>
        <w:tc>
          <w:tcPr>
            <w:tcW w:type="dxa" w:w="5011"/>
            <w:vAlign w:val="center"/>
          </w:tcPr>
          <w:p>
            <w:pPr>
              <w:spacing w:after="20"/>
            </w:pPr>
            <w:r>
              <w:rPr>
                <w:sz w:val="14"/>
              </w:rPr>
              <w:t>Rate limiting</w:t>
            </w:r>
          </w:p>
        </w:tc>
        <w:tc>
          <w:tcPr>
            <w:tcW w:type="dxa" w:w="5011"/>
            <w:vAlign w:val="center"/>
          </w:tcPr>
          <w:p>
            <w:pPr>
              <w:spacing w:after="20"/>
            </w:pPr>
            <w:r>
              <w:rPr>
                <w:sz w:val="14"/>
              </w:rPr>
              <w:t>Dois testes contra middleware local Express Rate Limit; não validado na ServeRest pública</w:t>
            </w:r>
          </w:p>
        </w:tc>
      </w:tr>
    </w:tbl>
    <w:p>
      <w:r>
        <w:t>Este relatório apresenta os testes, as evidências de execução e as decisões técnicas da solução entregue.</w:t>
      </w:r>
    </w:p>
    <w:p>
      <w:pPr>
        <w:pStyle w:val="Heading1"/>
      </w:pPr>
      <w:r>
        <w:t>1. Escopo e decisões de arquitetura</w:t>
      </w:r>
    </w:p>
    <w:p>
      <w:r>
        <w:t>Estruturei o repositório em api-tests, mobile-tests, bdd e docs. Para a API, utilizei TypeScript, Vitest, Supertest, Zod, clientes HTTP separados, fábrica de dados sintéticos e scripts de typecheck. Para Mobile, utilizei WebdriverIO, Appium, UiAutomator2, Mocha, Page Object Model e Allure. O GitLab CI/CD executa automaticamente a qualidade da API.</w:t>
      </w:r>
    </w:p>
    <w:p>
      <w:r>
        <w:t>Utilizei a API ServeRest (https://serverest.dev) para as operações de usuários, com rotas reais /usuarios, /usuarios/:id e /login e campos nome, email, password e administrador. Para validação dos contratos de resposta, usei schemas Zod.</w:t>
      </w:r>
    </w:p>
    <w:p>
      <w:pPr>
        <w:pStyle w:val="Heading1"/>
      </w:pPr>
      <w:r>
        <w:t>2. API — cobertura funcional e validação</w:t>
      </w:r>
    </w:p>
    <w:p>
      <w:r>
        <w:t>Exercitei listagem, criação, consulta, atualização e exclusão de usuários, cenários negativos, autenticação e autorização, além de contratos de resposta. Para evitar colisões e interferências nos dados, a fábrica makeUser gera e-mails sintéticos únicos; nos fluxos que criam usuários temporários, a automação realiza limpeza do registro ao final.</w:t>
      </w:r>
    </w:p>
    <w:tbl>
      <w:tblPr>
        <w:tblStyle w:val="LightShading-Accent1"/>
        <w:tblW w:type="auto" w:w="0"/>
        <w:jc w:val="center"/>
        <w:tblLook w:firstColumn="1" w:firstRow="1" w:lastColumn="0" w:lastRow="0" w:noHBand="0" w:noVBand="1" w:val="04A0"/>
      </w:tblPr>
      <w:tblGrid>
        <w:gridCol w:w="3341"/>
        <w:gridCol w:w="3341"/>
        <w:gridCol w:w="3341"/>
      </w:tblGrid>
      <w:tr>
        <w:tc>
          <w:tcPr>
            <w:tcW w:type="dxa" w:w="3341"/>
          </w:tcPr>
          <w:p>
            <w:pPr>
              <w:spacing w:after="20"/>
            </w:pPr>
            <w:r>
              <w:rPr>
                <w:b/>
                <w:sz w:val="14"/>
              </w:rPr>
              <w:t>ID da automação</w:t>
            </w:r>
          </w:p>
        </w:tc>
        <w:tc>
          <w:tcPr>
            <w:tcW w:type="dxa" w:w="3341"/>
          </w:tcPr>
          <w:p>
            <w:pPr>
              <w:spacing w:after="20"/>
            </w:pPr>
            <w:r>
              <w:rPr>
                <w:b/>
                <w:sz w:val="14"/>
              </w:rPr>
              <w:t>Comportamento validado</w:t>
            </w:r>
          </w:p>
        </w:tc>
        <w:tc>
          <w:tcPr>
            <w:tcW w:type="dxa" w:w="3341"/>
          </w:tcPr>
          <w:p>
            <w:pPr>
              <w:spacing w:after="20"/>
            </w:pPr>
            <w:r>
              <w:rPr>
                <w:b/>
                <w:sz w:val="14"/>
              </w:rPr>
              <w:t>Alvo</w:t>
            </w:r>
          </w:p>
        </w:tc>
      </w:tr>
      <w:tr>
        <w:tc>
          <w:tcPr>
            <w:tcW w:type="dxa" w:w="3341"/>
            <w:vAlign w:val="center"/>
          </w:tcPr>
          <w:p>
            <w:pPr>
              <w:spacing w:after="20"/>
            </w:pPr>
            <w:r>
              <w:rPr>
                <w:sz w:val="14"/>
              </w:rPr>
              <w:t>API-001</w:t>
            </w:r>
          </w:p>
        </w:tc>
        <w:tc>
          <w:tcPr>
            <w:tcW w:type="dxa" w:w="3341"/>
            <w:vAlign w:val="center"/>
          </w:tcPr>
          <w:p>
            <w:pPr>
              <w:spacing w:after="20"/>
            </w:pPr>
            <w:r>
              <w:rPr>
                <w:sz w:val="14"/>
              </w:rPr>
              <w:t>Listagem de usuários</w:t>
            </w:r>
          </w:p>
        </w:tc>
        <w:tc>
          <w:tcPr>
            <w:tcW w:type="dxa" w:w="3341"/>
            <w:vAlign w:val="center"/>
          </w:tcPr>
          <w:p>
            <w:pPr>
              <w:spacing w:after="20"/>
            </w:pPr>
            <w:r>
              <w:rPr>
                <w:sz w:val="14"/>
              </w:rPr>
              <w:t>ServeRest</w:t>
            </w:r>
          </w:p>
        </w:tc>
      </w:tr>
      <w:tr>
        <w:tc>
          <w:tcPr>
            <w:tcW w:type="dxa" w:w="3341"/>
            <w:vAlign w:val="center"/>
          </w:tcPr>
          <w:p>
            <w:pPr>
              <w:spacing w:after="20"/>
            </w:pPr>
            <w:r>
              <w:rPr>
                <w:sz w:val="14"/>
              </w:rPr>
              <w:t>API-002</w:t>
            </w:r>
          </w:p>
        </w:tc>
        <w:tc>
          <w:tcPr>
            <w:tcW w:type="dxa" w:w="3341"/>
            <w:vAlign w:val="center"/>
          </w:tcPr>
          <w:p>
            <w:pPr>
              <w:spacing w:after="20"/>
            </w:pPr>
            <w:r>
              <w:rPr>
                <w:sz w:val="14"/>
              </w:rPr>
              <w:t>Criar, consultar e excluir usuário</w:t>
            </w:r>
          </w:p>
        </w:tc>
        <w:tc>
          <w:tcPr>
            <w:tcW w:type="dxa" w:w="3341"/>
            <w:vAlign w:val="center"/>
          </w:tcPr>
          <w:p>
            <w:pPr>
              <w:spacing w:after="20"/>
            </w:pPr>
            <w:r>
              <w:rPr>
                <w:sz w:val="14"/>
              </w:rPr>
              <w:t>ServeRest</w:t>
            </w:r>
          </w:p>
        </w:tc>
      </w:tr>
      <w:tr>
        <w:tc>
          <w:tcPr>
            <w:tcW w:type="dxa" w:w="3341"/>
            <w:vAlign w:val="center"/>
          </w:tcPr>
          <w:p>
            <w:pPr>
              <w:spacing w:after="20"/>
            </w:pPr>
            <w:r>
              <w:rPr>
                <w:sz w:val="14"/>
              </w:rPr>
              <w:t>API-003</w:t>
            </w:r>
          </w:p>
        </w:tc>
        <w:tc>
          <w:tcPr>
            <w:tcW w:type="dxa" w:w="3341"/>
            <w:vAlign w:val="center"/>
          </w:tcPr>
          <w:p>
            <w:pPr>
              <w:spacing w:after="20"/>
            </w:pPr>
            <w:r>
              <w:rPr>
                <w:sz w:val="14"/>
              </w:rPr>
              <w:t>Cadastro sem nome</w:t>
            </w:r>
          </w:p>
        </w:tc>
        <w:tc>
          <w:tcPr>
            <w:tcW w:type="dxa" w:w="3341"/>
            <w:vAlign w:val="center"/>
          </w:tcPr>
          <w:p>
            <w:pPr>
              <w:spacing w:after="20"/>
            </w:pPr>
            <w:r>
              <w:rPr>
                <w:sz w:val="14"/>
              </w:rPr>
              <w:t>ServeRest</w:t>
            </w:r>
          </w:p>
        </w:tc>
      </w:tr>
      <w:tr>
        <w:tc>
          <w:tcPr>
            <w:tcW w:type="dxa" w:w="3341"/>
            <w:vAlign w:val="center"/>
          </w:tcPr>
          <w:p>
            <w:pPr>
              <w:spacing w:after="20"/>
            </w:pPr>
            <w:r>
              <w:rPr>
                <w:sz w:val="14"/>
              </w:rPr>
              <w:t>API-004</w:t>
            </w:r>
          </w:p>
        </w:tc>
        <w:tc>
          <w:tcPr>
            <w:tcW w:type="dxa" w:w="3341"/>
            <w:vAlign w:val="center"/>
          </w:tcPr>
          <w:p>
            <w:pPr>
              <w:spacing w:after="20"/>
            </w:pPr>
            <w:r>
              <w:rPr>
                <w:sz w:val="14"/>
              </w:rPr>
              <w:t>Cadastro com e-mail inválido</w:t>
            </w:r>
          </w:p>
        </w:tc>
        <w:tc>
          <w:tcPr>
            <w:tcW w:type="dxa" w:w="3341"/>
            <w:vAlign w:val="center"/>
          </w:tcPr>
          <w:p>
            <w:pPr>
              <w:spacing w:after="20"/>
            </w:pPr>
            <w:r>
              <w:rPr>
                <w:sz w:val="14"/>
              </w:rPr>
              <w:t>ServeRest</w:t>
            </w:r>
          </w:p>
        </w:tc>
      </w:tr>
      <w:tr>
        <w:tc>
          <w:tcPr>
            <w:tcW w:type="dxa" w:w="3341"/>
            <w:vAlign w:val="center"/>
          </w:tcPr>
          <w:p>
            <w:pPr>
              <w:spacing w:after="20"/>
            </w:pPr>
            <w:r>
              <w:rPr>
                <w:sz w:val="14"/>
              </w:rPr>
              <w:t>API-005</w:t>
            </w:r>
          </w:p>
        </w:tc>
        <w:tc>
          <w:tcPr>
            <w:tcW w:type="dxa" w:w="3341"/>
            <w:vAlign w:val="center"/>
          </w:tcPr>
          <w:p>
            <w:pPr>
              <w:spacing w:after="20"/>
            </w:pPr>
            <w:r>
              <w:rPr>
                <w:sz w:val="14"/>
              </w:rPr>
              <w:t>Consulta de usuário inexistente</w:t>
            </w:r>
          </w:p>
        </w:tc>
        <w:tc>
          <w:tcPr>
            <w:tcW w:type="dxa" w:w="3341"/>
            <w:vAlign w:val="center"/>
          </w:tcPr>
          <w:p>
            <w:pPr>
              <w:spacing w:after="20"/>
            </w:pPr>
            <w:r>
              <w:rPr>
                <w:sz w:val="14"/>
              </w:rPr>
              <w:t>ServeRest</w:t>
            </w:r>
          </w:p>
        </w:tc>
      </w:tr>
      <w:tr>
        <w:tc>
          <w:tcPr>
            <w:tcW w:type="dxa" w:w="3341"/>
            <w:vAlign w:val="center"/>
          </w:tcPr>
          <w:p>
            <w:pPr>
              <w:spacing w:after="20"/>
            </w:pPr>
            <w:r>
              <w:rPr>
                <w:sz w:val="14"/>
              </w:rPr>
              <w:t>API-006</w:t>
            </w:r>
          </w:p>
        </w:tc>
        <w:tc>
          <w:tcPr>
            <w:tcW w:type="dxa" w:w="3341"/>
            <w:vAlign w:val="center"/>
          </w:tcPr>
          <w:p>
            <w:pPr>
              <w:spacing w:after="20"/>
            </w:pPr>
            <w:r>
              <w:rPr>
                <w:sz w:val="14"/>
              </w:rPr>
              <w:t>Atualização de usuário</w:t>
            </w:r>
          </w:p>
        </w:tc>
        <w:tc>
          <w:tcPr>
            <w:tcW w:type="dxa" w:w="3341"/>
            <w:vAlign w:val="center"/>
          </w:tcPr>
          <w:p>
            <w:pPr>
              <w:spacing w:after="20"/>
            </w:pPr>
            <w:r>
              <w:rPr>
                <w:sz w:val="14"/>
              </w:rPr>
              <w:t>ServeRest</w:t>
            </w:r>
          </w:p>
        </w:tc>
      </w:tr>
      <w:tr>
        <w:tc>
          <w:tcPr>
            <w:tcW w:type="dxa" w:w="3341"/>
            <w:vAlign w:val="center"/>
          </w:tcPr>
          <w:p>
            <w:pPr>
              <w:spacing w:after="20"/>
            </w:pPr>
            <w:r>
              <w:rPr>
                <w:sz w:val="14"/>
              </w:rPr>
              <w:t>API-007</w:t>
            </w:r>
          </w:p>
        </w:tc>
        <w:tc>
          <w:tcPr>
            <w:tcW w:type="dxa" w:w="3341"/>
            <w:vAlign w:val="center"/>
          </w:tcPr>
          <w:p>
            <w:pPr>
              <w:spacing w:after="20"/>
            </w:pPr>
            <w:r>
              <w:rPr>
                <w:sz w:val="14"/>
              </w:rPr>
              <w:t>Excluir e confirmar remoção</w:t>
            </w:r>
          </w:p>
        </w:tc>
        <w:tc>
          <w:tcPr>
            <w:tcW w:type="dxa" w:w="3341"/>
            <w:vAlign w:val="center"/>
          </w:tcPr>
          <w:p>
            <w:pPr>
              <w:spacing w:after="20"/>
            </w:pPr>
            <w:r>
              <w:rPr>
                <w:sz w:val="14"/>
              </w:rPr>
              <w:t>ServeRest</w:t>
            </w:r>
          </w:p>
        </w:tc>
      </w:tr>
      <w:tr>
        <w:tc>
          <w:tcPr>
            <w:tcW w:type="dxa" w:w="3341"/>
            <w:vAlign w:val="center"/>
          </w:tcPr>
          <w:p>
            <w:pPr>
              <w:spacing w:after="20"/>
            </w:pPr>
            <w:r>
              <w:rPr>
                <w:sz w:val="14"/>
              </w:rPr>
              <w:t>API-008</w:t>
            </w:r>
          </w:p>
        </w:tc>
        <w:tc>
          <w:tcPr>
            <w:tcW w:type="dxa" w:w="3341"/>
            <w:vAlign w:val="center"/>
          </w:tcPr>
          <w:p>
            <w:pPr>
              <w:spacing w:after="20"/>
            </w:pPr>
            <w:r>
              <w:rPr>
                <w:sz w:val="14"/>
              </w:rPr>
              <w:t>Contrato estrutural da listagem</w:t>
            </w:r>
          </w:p>
        </w:tc>
        <w:tc>
          <w:tcPr>
            <w:tcW w:type="dxa" w:w="3341"/>
            <w:vAlign w:val="center"/>
          </w:tcPr>
          <w:p>
            <w:pPr>
              <w:spacing w:after="20"/>
            </w:pPr>
            <w:r>
              <w:rPr>
                <w:sz w:val="14"/>
              </w:rPr>
              <w:t>ServeRest</w:t>
            </w:r>
          </w:p>
        </w:tc>
      </w:tr>
      <w:tr>
        <w:tc>
          <w:tcPr>
            <w:tcW w:type="dxa" w:w="3341"/>
            <w:vAlign w:val="center"/>
          </w:tcPr>
          <w:p>
            <w:pPr>
              <w:spacing w:after="20"/>
            </w:pPr>
            <w:r>
              <w:rPr>
                <w:sz w:val="14"/>
              </w:rPr>
              <w:t>API-009</w:t>
            </w:r>
          </w:p>
        </w:tc>
        <w:tc>
          <w:tcPr>
            <w:tcW w:type="dxa" w:w="3341"/>
            <w:vAlign w:val="center"/>
          </w:tcPr>
          <w:p>
            <w:pPr>
              <w:spacing w:after="20"/>
            </w:pPr>
            <w:r>
              <w:rPr>
                <w:sz w:val="14"/>
              </w:rPr>
              <w:t>Contrato rigoroso de usuário criado</w:t>
            </w:r>
          </w:p>
        </w:tc>
        <w:tc>
          <w:tcPr>
            <w:tcW w:type="dxa" w:w="3341"/>
            <w:vAlign w:val="center"/>
          </w:tcPr>
          <w:p>
            <w:pPr>
              <w:spacing w:after="20"/>
            </w:pPr>
            <w:r>
              <w:rPr>
                <w:sz w:val="14"/>
              </w:rPr>
              <w:t>ServeRest</w:t>
            </w:r>
          </w:p>
        </w:tc>
      </w:tr>
      <w:tr>
        <w:tc>
          <w:tcPr>
            <w:tcW w:type="dxa" w:w="3341"/>
            <w:vAlign w:val="center"/>
          </w:tcPr>
          <w:p>
            <w:pPr>
              <w:spacing w:after="20"/>
            </w:pPr>
            <w:r>
              <w:rPr>
                <w:sz w:val="14"/>
              </w:rPr>
              <w:t>API-010</w:t>
            </w:r>
          </w:p>
        </w:tc>
        <w:tc>
          <w:tcPr>
            <w:tcW w:type="dxa" w:w="3341"/>
            <w:vAlign w:val="center"/>
          </w:tcPr>
          <w:p>
            <w:pPr>
              <w:spacing w:after="20"/>
            </w:pPr>
            <w:r>
              <w:rPr>
                <w:sz w:val="14"/>
              </w:rPr>
              <w:t>Autenticação válida</w:t>
            </w:r>
          </w:p>
        </w:tc>
        <w:tc>
          <w:tcPr>
            <w:tcW w:type="dxa" w:w="3341"/>
            <w:vAlign w:val="center"/>
          </w:tcPr>
          <w:p>
            <w:pPr>
              <w:spacing w:after="20"/>
            </w:pPr>
            <w:r>
              <w:rPr>
                <w:sz w:val="14"/>
              </w:rPr>
              <w:t>ServeRest</w:t>
            </w:r>
          </w:p>
        </w:tc>
      </w:tr>
      <w:tr>
        <w:tc>
          <w:tcPr>
            <w:tcW w:type="dxa" w:w="3341"/>
            <w:vAlign w:val="center"/>
          </w:tcPr>
          <w:p>
            <w:pPr>
              <w:spacing w:after="20"/>
            </w:pPr>
            <w:r>
              <w:rPr>
                <w:sz w:val="14"/>
              </w:rPr>
              <w:t>API-011</w:t>
            </w:r>
          </w:p>
        </w:tc>
        <w:tc>
          <w:tcPr>
            <w:tcW w:type="dxa" w:w="3341"/>
            <w:vAlign w:val="center"/>
          </w:tcPr>
          <w:p>
            <w:pPr>
              <w:spacing w:after="20"/>
            </w:pPr>
            <w:r>
              <w:rPr>
                <w:sz w:val="14"/>
              </w:rPr>
              <w:t>Senha incorreta</w:t>
            </w:r>
          </w:p>
        </w:tc>
        <w:tc>
          <w:tcPr>
            <w:tcW w:type="dxa" w:w="3341"/>
            <w:vAlign w:val="center"/>
          </w:tcPr>
          <w:p>
            <w:pPr>
              <w:spacing w:after="20"/>
            </w:pPr>
            <w:r>
              <w:rPr>
                <w:sz w:val="14"/>
              </w:rPr>
              <w:t>ServeRest</w:t>
            </w:r>
          </w:p>
        </w:tc>
      </w:tr>
      <w:tr>
        <w:tc>
          <w:tcPr>
            <w:tcW w:type="dxa" w:w="3341"/>
            <w:vAlign w:val="center"/>
          </w:tcPr>
          <w:p>
            <w:pPr>
              <w:spacing w:after="20"/>
            </w:pPr>
            <w:r>
              <w:rPr>
                <w:sz w:val="14"/>
              </w:rPr>
              <w:t>API-012</w:t>
            </w:r>
          </w:p>
        </w:tc>
        <w:tc>
          <w:tcPr>
            <w:tcW w:type="dxa" w:w="3341"/>
            <w:vAlign w:val="center"/>
          </w:tcPr>
          <w:p>
            <w:pPr>
              <w:spacing w:after="20"/>
            </w:pPr>
            <w:r>
              <w:rPr>
                <w:sz w:val="14"/>
              </w:rPr>
              <w:t>Recurso protegido sem token</w:t>
            </w:r>
          </w:p>
        </w:tc>
        <w:tc>
          <w:tcPr>
            <w:tcW w:type="dxa" w:w="3341"/>
            <w:vAlign w:val="center"/>
          </w:tcPr>
          <w:p>
            <w:pPr>
              <w:spacing w:after="20"/>
            </w:pPr>
            <w:r>
              <w:rPr>
                <w:sz w:val="14"/>
              </w:rPr>
              <w:t>ServeRest</w:t>
            </w:r>
          </w:p>
        </w:tc>
      </w:tr>
      <w:tr>
        <w:tc>
          <w:tcPr>
            <w:tcW w:type="dxa" w:w="3341"/>
            <w:vAlign w:val="center"/>
          </w:tcPr>
          <w:p>
            <w:pPr>
              <w:spacing w:after="20"/>
            </w:pPr>
            <w:r>
              <w:rPr>
                <w:sz w:val="14"/>
              </w:rPr>
              <w:t>API-013</w:t>
            </w:r>
          </w:p>
        </w:tc>
        <w:tc>
          <w:tcPr>
            <w:tcW w:type="dxa" w:w="3341"/>
            <w:vAlign w:val="center"/>
          </w:tcPr>
          <w:p>
            <w:pPr>
              <w:spacing w:after="20"/>
            </w:pPr>
            <w:r>
              <w:rPr>
                <w:sz w:val="14"/>
              </w:rPr>
              <w:t>Token válido em recurso protegido</w:t>
            </w:r>
          </w:p>
        </w:tc>
        <w:tc>
          <w:tcPr>
            <w:tcW w:type="dxa" w:w="3341"/>
            <w:vAlign w:val="center"/>
          </w:tcPr>
          <w:p>
            <w:pPr>
              <w:spacing w:after="20"/>
            </w:pPr>
            <w:r>
              <w:rPr>
                <w:sz w:val="14"/>
              </w:rPr>
              <w:t>ServeRest</w:t>
            </w:r>
          </w:p>
        </w:tc>
      </w:tr>
      <w:tr>
        <w:tc>
          <w:tcPr>
            <w:tcW w:type="dxa" w:w="3341"/>
            <w:vAlign w:val="center"/>
          </w:tcPr>
          <w:p>
            <w:pPr>
              <w:spacing w:after="20"/>
            </w:pPr>
            <w:r>
              <w:rPr>
                <w:sz w:val="14"/>
              </w:rPr>
              <w:t>API-014 (email)</w:t>
            </w:r>
          </w:p>
        </w:tc>
        <w:tc>
          <w:tcPr>
            <w:tcW w:type="dxa" w:w="3341"/>
            <w:vAlign w:val="center"/>
          </w:tcPr>
          <w:p>
            <w:pPr>
              <w:spacing w:after="20"/>
            </w:pPr>
            <w:r>
              <w:rPr>
                <w:sz w:val="14"/>
              </w:rPr>
              <w:t>Cadastro sem campo email</w:t>
            </w:r>
          </w:p>
        </w:tc>
        <w:tc>
          <w:tcPr>
            <w:tcW w:type="dxa" w:w="3341"/>
            <w:vAlign w:val="center"/>
          </w:tcPr>
          <w:p>
            <w:pPr>
              <w:spacing w:after="20"/>
            </w:pPr>
            <w:r>
              <w:rPr>
                <w:sz w:val="14"/>
              </w:rPr>
              <w:t>ServeRest</w:t>
            </w:r>
          </w:p>
        </w:tc>
      </w:tr>
      <w:tr>
        <w:tc>
          <w:tcPr>
            <w:tcW w:type="dxa" w:w="3341"/>
            <w:vAlign w:val="center"/>
          </w:tcPr>
          <w:p>
            <w:pPr>
              <w:spacing w:after="20"/>
            </w:pPr>
            <w:r>
              <w:rPr>
                <w:sz w:val="14"/>
              </w:rPr>
              <w:t>API-014 (password)</w:t>
            </w:r>
          </w:p>
        </w:tc>
        <w:tc>
          <w:tcPr>
            <w:tcW w:type="dxa" w:w="3341"/>
            <w:vAlign w:val="center"/>
          </w:tcPr>
          <w:p>
            <w:pPr>
              <w:spacing w:after="20"/>
            </w:pPr>
            <w:r>
              <w:rPr>
                <w:sz w:val="14"/>
              </w:rPr>
              <w:t>Cadastro sem campo password</w:t>
            </w:r>
          </w:p>
        </w:tc>
        <w:tc>
          <w:tcPr>
            <w:tcW w:type="dxa" w:w="3341"/>
            <w:vAlign w:val="center"/>
          </w:tcPr>
          <w:p>
            <w:pPr>
              <w:spacing w:after="20"/>
            </w:pPr>
            <w:r>
              <w:rPr>
                <w:sz w:val="14"/>
              </w:rPr>
              <w:t>ServeRest</w:t>
            </w:r>
          </w:p>
        </w:tc>
      </w:tr>
      <w:tr>
        <w:tc>
          <w:tcPr>
            <w:tcW w:type="dxa" w:w="3341"/>
            <w:vAlign w:val="center"/>
          </w:tcPr>
          <w:p>
            <w:pPr>
              <w:spacing w:after="20"/>
            </w:pPr>
            <w:r>
              <w:rPr>
                <w:sz w:val="14"/>
              </w:rPr>
              <w:t>API-015 (limite)</w:t>
            </w:r>
          </w:p>
        </w:tc>
        <w:tc>
          <w:tcPr>
            <w:tcW w:type="dxa" w:w="3341"/>
            <w:vAlign w:val="center"/>
          </w:tcPr>
          <w:p>
            <w:pPr>
              <w:spacing w:after="20"/>
            </w:pPr>
            <w:r>
              <w:rPr>
                <w:sz w:val="14"/>
              </w:rPr>
              <w:t>100 permitidas; 101ª com HTTP 429</w:t>
            </w:r>
          </w:p>
        </w:tc>
        <w:tc>
          <w:tcPr>
            <w:tcW w:type="dxa" w:w="3341"/>
            <w:vAlign w:val="center"/>
          </w:tcPr>
          <w:p>
            <w:pPr>
              <w:spacing w:after="20"/>
            </w:pPr>
            <w:r>
              <w:rPr>
                <w:sz w:val="14"/>
              </w:rPr>
              <w:t>Middleware local</w:t>
            </w:r>
          </w:p>
        </w:tc>
      </w:tr>
      <w:tr>
        <w:tc>
          <w:tcPr>
            <w:tcW w:type="dxa" w:w="3341"/>
            <w:vAlign w:val="center"/>
          </w:tcPr>
          <w:p>
            <w:pPr>
              <w:spacing w:after="20"/>
            </w:pPr>
            <w:r>
              <w:rPr>
                <w:sz w:val="14"/>
              </w:rPr>
              <w:t>API-015 (janela)</w:t>
            </w:r>
          </w:p>
        </w:tc>
        <w:tc>
          <w:tcPr>
            <w:tcW w:type="dxa" w:w="3341"/>
            <w:vAlign w:val="center"/>
          </w:tcPr>
          <w:p>
            <w:pPr>
              <w:spacing w:after="20"/>
            </w:pPr>
            <w:r>
              <w:rPr>
                <w:sz w:val="14"/>
              </w:rPr>
              <w:t>Retomada após janela temporal</w:t>
            </w:r>
          </w:p>
        </w:tc>
        <w:tc>
          <w:tcPr>
            <w:tcW w:type="dxa" w:w="3341"/>
            <w:vAlign w:val="center"/>
          </w:tcPr>
          <w:p>
            <w:pPr>
              <w:spacing w:after="20"/>
            </w:pPr>
            <w:r>
              <w:rPr>
                <w:sz w:val="14"/>
              </w:rPr>
              <w:t>Middleware local</w:t>
            </w:r>
          </w:p>
        </w:tc>
      </w:tr>
      <w:tr>
        <w:tc>
          <w:tcPr>
            <w:tcW w:type="dxa" w:w="3341"/>
            <w:vAlign w:val="center"/>
          </w:tcPr>
          <w:p>
            <w:pPr>
              <w:spacing w:after="20"/>
            </w:pPr>
            <w:r>
              <w:rPr>
                <w:sz w:val="14"/>
              </w:rPr>
              <w:t>API-016</w:t>
            </w:r>
          </w:p>
        </w:tc>
        <w:tc>
          <w:tcPr>
            <w:tcW w:type="dxa" w:w="3341"/>
            <w:vAlign w:val="center"/>
          </w:tcPr>
          <w:p>
            <w:pPr>
              <w:spacing w:after="20"/>
            </w:pPr>
            <w:r>
              <w:rPr>
                <w:sz w:val="14"/>
              </w:rPr>
              <w:t>Cadastro com e-mail duplicado</w:t>
            </w:r>
          </w:p>
        </w:tc>
        <w:tc>
          <w:tcPr>
            <w:tcW w:type="dxa" w:w="3341"/>
            <w:vAlign w:val="center"/>
          </w:tcPr>
          <w:p>
            <w:pPr>
              <w:spacing w:after="20"/>
            </w:pPr>
            <w:r>
              <w:rPr>
                <w:sz w:val="14"/>
              </w:rPr>
              <w:t>ServeRest</w:t>
            </w:r>
          </w:p>
        </w:tc>
      </w:tr>
      <w:tr>
        <w:tc>
          <w:tcPr>
            <w:tcW w:type="dxa" w:w="3341"/>
            <w:vAlign w:val="center"/>
          </w:tcPr>
          <w:p>
            <w:pPr>
              <w:spacing w:after="20"/>
            </w:pPr>
            <w:r>
              <w:rPr>
                <w:sz w:val="14"/>
              </w:rPr>
              <w:t>API-017</w:t>
            </w:r>
          </w:p>
        </w:tc>
        <w:tc>
          <w:tcPr>
            <w:tcW w:type="dxa" w:w="3341"/>
            <w:vAlign w:val="center"/>
          </w:tcPr>
          <w:p>
            <w:pPr>
              <w:spacing w:after="20"/>
            </w:pPr>
            <w:r>
              <w:rPr>
                <w:sz w:val="14"/>
              </w:rPr>
              <w:t>Cadastro sem administrador</w:t>
            </w:r>
          </w:p>
        </w:tc>
        <w:tc>
          <w:tcPr>
            <w:tcW w:type="dxa" w:w="3341"/>
            <w:vAlign w:val="center"/>
          </w:tcPr>
          <w:p>
            <w:pPr>
              <w:spacing w:after="20"/>
            </w:pPr>
            <w:r>
              <w:rPr>
                <w:sz w:val="14"/>
              </w:rPr>
              <w:t>ServeRest</w:t>
            </w:r>
          </w:p>
        </w:tc>
      </w:tr>
      <w:tr>
        <w:tc>
          <w:tcPr>
            <w:tcW w:type="dxa" w:w="3341"/>
            <w:vAlign w:val="center"/>
          </w:tcPr>
          <w:p>
            <w:pPr>
              <w:spacing w:after="20"/>
            </w:pPr>
            <w:r>
              <w:rPr>
                <w:sz w:val="14"/>
              </w:rPr>
              <w:t>API-018</w:t>
            </w:r>
          </w:p>
        </w:tc>
        <w:tc>
          <w:tcPr>
            <w:tcW w:type="dxa" w:w="3341"/>
            <w:vAlign w:val="center"/>
          </w:tcPr>
          <w:p>
            <w:pPr>
              <w:spacing w:after="20"/>
            </w:pPr>
            <w:r>
              <w:rPr>
                <w:sz w:val="14"/>
              </w:rPr>
              <w:t>Token inválido</w:t>
            </w:r>
          </w:p>
        </w:tc>
        <w:tc>
          <w:tcPr>
            <w:tcW w:type="dxa" w:w="3341"/>
            <w:vAlign w:val="center"/>
          </w:tcPr>
          <w:p>
            <w:pPr>
              <w:spacing w:after="20"/>
            </w:pPr>
            <w:r>
              <w:rPr>
                <w:sz w:val="14"/>
              </w:rPr>
              <w:t>ServeRest</w:t>
            </w:r>
          </w:p>
        </w:tc>
      </w:tr>
      <w:tr>
        <w:tc>
          <w:tcPr>
            <w:tcW w:type="dxa" w:w="3341"/>
            <w:vAlign w:val="center"/>
          </w:tcPr>
          <w:p>
            <w:pPr>
              <w:spacing w:after="20"/>
            </w:pPr>
            <w:r>
              <w:rPr>
                <w:sz w:val="14"/>
              </w:rPr>
              <w:t>API-019</w:t>
            </w:r>
          </w:p>
        </w:tc>
        <w:tc>
          <w:tcPr>
            <w:tcW w:type="dxa" w:w="3341"/>
            <w:vAlign w:val="center"/>
          </w:tcPr>
          <w:p>
            <w:pPr>
              <w:spacing w:after="20"/>
            </w:pPr>
            <w:r>
              <w:rPr>
                <w:sz w:val="14"/>
              </w:rPr>
              <w:t>Login sem e-mail</w:t>
            </w:r>
          </w:p>
        </w:tc>
        <w:tc>
          <w:tcPr>
            <w:tcW w:type="dxa" w:w="3341"/>
            <w:vAlign w:val="center"/>
          </w:tcPr>
          <w:p>
            <w:pPr>
              <w:spacing w:after="20"/>
            </w:pPr>
            <w:r>
              <w:rPr>
                <w:sz w:val="14"/>
              </w:rPr>
              <w:t>ServeRest</w:t>
            </w:r>
          </w:p>
        </w:tc>
      </w:tr>
      <w:tr>
        <w:tc>
          <w:tcPr>
            <w:tcW w:type="dxa" w:w="3341"/>
            <w:vAlign w:val="center"/>
          </w:tcPr>
          <w:p>
            <w:pPr>
              <w:spacing w:after="20"/>
            </w:pPr>
            <w:r>
              <w:rPr>
                <w:sz w:val="14"/>
              </w:rPr>
              <w:t>API-020</w:t>
            </w:r>
          </w:p>
        </w:tc>
        <w:tc>
          <w:tcPr>
            <w:tcW w:type="dxa" w:w="3341"/>
            <w:vAlign w:val="center"/>
          </w:tcPr>
          <w:p>
            <w:pPr>
              <w:spacing w:after="20"/>
            </w:pPr>
            <w:r>
              <w:rPr>
                <w:sz w:val="14"/>
              </w:rPr>
              <w:t>Login sem senha</w:t>
            </w:r>
          </w:p>
        </w:tc>
        <w:tc>
          <w:tcPr>
            <w:tcW w:type="dxa" w:w="3341"/>
            <w:vAlign w:val="center"/>
          </w:tcPr>
          <w:p>
            <w:pPr>
              <w:spacing w:after="20"/>
            </w:pPr>
            <w:r>
              <w:rPr>
                <w:sz w:val="14"/>
              </w:rPr>
              <w:t>ServeRest</w:t>
            </w:r>
          </w:p>
        </w:tc>
      </w:tr>
      <w:tr>
        <w:tc>
          <w:tcPr>
            <w:tcW w:type="dxa" w:w="3341"/>
            <w:vAlign w:val="center"/>
          </w:tcPr>
          <w:p>
            <w:pPr>
              <w:spacing w:after="20"/>
            </w:pPr>
            <w:r>
              <w:rPr>
                <w:sz w:val="14"/>
              </w:rPr>
              <w:t>API-021</w:t>
            </w:r>
          </w:p>
        </w:tc>
        <w:tc>
          <w:tcPr>
            <w:tcW w:type="dxa" w:w="3341"/>
            <w:vAlign w:val="center"/>
          </w:tcPr>
          <w:p>
            <w:pPr>
              <w:spacing w:after="20"/>
            </w:pPr>
            <w:r>
              <w:rPr>
                <w:sz w:val="14"/>
              </w:rPr>
              <w:t>Exclusão de registro inexistente</w:t>
            </w:r>
          </w:p>
        </w:tc>
        <w:tc>
          <w:tcPr>
            <w:tcW w:type="dxa" w:w="3341"/>
            <w:vAlign w:val="center"/>
          </w:tcPr>
          <w:p>
            <w:pPr>
              <w:spacing w:after="20"/>
            </w:pPr>
            <w:r>
              <w:rPr>
                <w:sz w:val="14"/>
              </w:rPr>
              <w:t>ServeRest</w:t>
            </w:r>
          </w:p>
        </w:tc>
      </w:tr>
    </w:tbl>
    <w:p>
      <w:r>
        <w:t>Concluí a execução dos 23 testes da suíte de API no ambiente local e na pipeline GitLab. Os dois testes do grupo API-015 validam o middleware Express Rate Limit no servidor local controlado.</w:t>
      </w:r>
    </w:p>
    <w:p>
      <w:pPr>
        <w:pStyle w:val="Heading1"/>
      </w:pPr>
      <w:r>
        <w:t>3. Rate limiting — validação controlada</w:t>
      </w:r>
    </w:p>
    <w:p>
      <w:r>
        <w:t>Implementei duas verificações com express-rate-limit em uma aplicação Express local. Na primeira, configurei uma janela de 60 segundos para até 100 requisições e confirmei HTTP 429 na 101ª. Na segunda, confirmei a liberação de novas requisições ao encerrar a janela reduzida. A execução comprova o comportamento configurado no middleware local, sem atribuir essa política à ServeRest pública.</w:t>
      </w:r>
    </w:p>
    <w:p>
      <w:pPr>
        <w:pStyle w:val="Heading1"/>
      </w:pPr>
      <w:r>
        <w:t>4. Achado de qualidade de dados</w:t>
      </w:r>
    </w:p>
    <w:p>
      <w:r>
        <w:t>Na consulta pública GET /usuarios de 13/10/2026, observei 149 registros retornados e um valor de e-mail rejeitado pela regra z.email() do Zod. Não reproduzi nem divulguei os dados pessoais do registro. Para manter independentes as responsabilidades dos testes, o API-008 valida a estrutura e os tipos da listagem, enquanto o API-009 valida o formato rigoroso do registro sintético criado e consultado durante o teste. Registro o ocorrido como observação de compatibilidade de dados, não como defeito confirmado da API.</w:t>
      </w:r>
    </w:p>
    <w:p>
      <w:pPr>
        <w:pStyle w:val="Heading1"/>
      </w:pPr>
      <w:r>
        <w:t>5. Mobile Android — execução comprovada</w:t>
      </w:r>
    </w:p>
    <w:p>
      <w:r>
        <w:t>Executei dez cenários no aplicativo WebdriverIO Native Demo App v2.2.0, em Android API 35, com sessões Appium executadas sequencialmente no emulador. Os dez passaram na execução final, registrada em Allure (zero falhas, zero erros e zero ignorados). Os cenários de cadastro validam presença e preenchimento dos campos, mas não realizam efetivamente o cadastro de uma conta.</w:t>
      </w:r>
    </w:p>
    <w:tbl>
      <w:tblPr>
        <w:tblStyle w:val="LightShading-Accent1"/>
        <w:tblW w:type="auto" w:w="0"/>
        <w:jc w:val="center"/>
        <w:tblLook w:firstColumn="1" w:firstRow="1" w:lastColumn="0" w:lastRow="0" w:noHBand="0" w:noVBand="1" w:val="04A0"/>
      </w:tblPr>
      <w:tblGrid>
        <w:gridCol w:w="5011"/>
        <w:gridCol w:w="5011"/>
      </w:tblGrid>
      <w:tr>
        <w:tc>
          <w:tcPr>
            <w:tcW w:type="dxa" w:w="5011"/>
          </w:tcPr>
          <w:p>
            <w:pPr>
              <w:spacing w:after="20"/>
            </w:pPr>
            <w:r>
              <w:rPr>
                <w:b/>
                <w:sz w:val="14"/>
              </w:rPr>
              <w:t>Teste</w:t>
            </w:r>
          </w:p>
        </w:tc>
        <w:tc>
          <w:tcPr>
            <w:tcW w:type="dxa" w:w="5011"/>
          </w:tcPr>
          <w:p>
            <w:pPr>
              <w:spacing w:after="20"/>
            </w:pPr>
            <w:r>
              <w:rPr>
                <w:b/>
                <w:sz w:val="14"/>
              </w:rPr>
              <w:t>Verificação Android</w:t>
            </w:r>
          </w:p>
        </w:tc>
      </w:tr>
      <w:tr>
        <w:tc>
          <w:tcPr>
            <w:tcW w:type="dxa" w:w="5011"/>
            <w:vAlign w:val="center"/>
          </w:tcPr>
          <w:p>
            <w:pPr>
              <w:spacing w:after="20"/>
            </w:pPr>
            <w:r>
              <w:rPr>
                <w:sz w:val="14"/>
              </w:rPr>
              <w:t>MOB-001</w:t>
            </w:r>
          </w:p>
        </w:tc>
        <w:tc>
          <w:tcPr>
            <w:tcW w:type="dxa" w:w="5011"/>
            <w:vAlign w:val="center"/>
          </w:tcPr>
          <w:p>
            <w:pPr>
              <w:spacing w:after="20"/>
            </w:pPr>
            <w:r>
              <w:rPr>
                <w:sz w:val="14"/>
              </w:rPr>
              <w:t>Tela inicial</w:t>
            </w:r>
          </w:p>
        </w:tc>
      </w:tr>
      <w:tr>
        <w:tc>
          <w:tcPr>
            <w:tcW w:type="dxa" w:w="5011"/>
            <w:vAlign w:val="center"/>
          </w:tcPr>
          <w:p>
            <w:pPr>
              <w:spacing w:after="20"/>
            </w:pPr>
            <w:r>
              <w:rPr>
                <w:sz w:val="14"/>
              </w:rPr>
              <w:t>MOB-002</w:t>
            </w:r>
          </w:p>
        </w:tc>
        <w:tc>
          <w:tcPr>
            <w:tcW w:type="dxa" w:w="5011"/>
            <w:vAlign w:val="center"/>
          </w:tcPr>
          <w:p>
            <w:pPr>
              <w:spacing w:after="20"/>
            </w:pPr>
            <w:r>
              <w:rPr>
                <w:sz w:val="14"/>
              </w:rPr>
              <w:t>Acesso ao formulário Login</w:t>
            </w:r>
          </w:p>
        </w:tc>
      </w:tr>
      <w:tr>
        <w:tc>
          <w:tcPr>
            <w:tcW w:type="dxa" w:w="5011"/>
            <w:vAlign w:val="center"/>
          </w:tcPr>
          <w:p>
            <w:pPr>
              <w:spacing w:after="20"/>
            </w:pPr>
            <w:r>
              <w:rPr>
                <w:sz w:val="14"/>
              </w:rPr>
              <w:t>MOB-003</w:t>
            </w:r>
          </w:p>
        </w:tc>
        <w:tc>
          <w:tcPr>
            <w:tcW w:type="dxa" w:w="5011"/>
            <w:vAlign w:val="center"/>
          </w:tcPr>
          <w:p>
            <w:pPr>
              <w:spacing w:after="20"/>
            </w:pPr>
            <w:r>
              <w:rPr>
                <w:sz w:val="14"/>
              </w:rPr>
              <w:t>Preenchimento de credenciais sintéticas</w:t>
            </w:r>
          </w:p>
        </w:tc>
      </w:tr>
      <w:tr>
        <w:tc>
          <w:tcPr>
            <w:tcW w:type="dxa" w:w="5011"/>
            <w:vAlign w:val="center"/>
          </w:tcPr>
          <w:p>
            <w:pPr>
              <w:spacing w:after="20"/>
            </w:pPr>
            <w:r>
              <w:rPr>
                <w:sz w:val="14"/>
              </w:rPr>
              <w:t>MOB-004</w:t>
            </w:r>
          </w:p>
        </w:tc>
        <w:tc>
          <w:tcPr>
            <w:tcW w:type="dxa" w:w="5011"/>
            <w:vAlign w:val="center"/>
          </w:tcPr>
          <w:p>
            <w:pPr>
              <w:spacing w:after="20"/>
            </w:pPr>
            <w:r>
              <w:rPr>
                <w:sz w:val="14"/>
              </w:rPr>
              <w:t>Rejeição de e-mail inválido</w:t>
            </w:r>
          </w:p>
        </w:tc>
      </w:tr>
      <w:tr>
        <w:tc>
          <w:tcPr>
            <w:tcW w:type="dxa" w:w="5011"/>
            <w:vAlign w:val="center"/>
          </w:tcPr>
          <w:p>
            <w:pPr>
              <w:spacing w:after="20"/>
            </w:pPr>
            <w:r>
              <w:rPr>
                <w:sz w:val="14"/>
              </w:rPr>
              <w:t>MOB-005</w:t>
            </w:r>
          </w:p>
        </w:tc>
        <w:tc>
          <w:tcPr>
            <w:tcW w:type="dxa" w:w="5011"/>
            <w:vAlign w:val="center"/>
          </w:tcPr>
          <w:p>
            <w:pPr>
              <w:spacing w:after="20"/>
            </w:pPr>
            <w:r>
              <w:rPr>
                <w:sz w:val="14"/>
              </w:rPr>
              <w:t>Acesso ao formulário Sign Up</w:t>
            </w:r>
          </w:p>
        </w:tc>
      </w:tr>
      <w:tr>
        <w:tc>
          <w:tcPr>
            <w:tcW w:type="dxa" w:w="5011"/>
            <w:vAlign w:val="center"/>
          </w:tcPr>
          <w:p>
            <w:pPr>
              <w:spacing w:after="20"/>
            </w:pPr>
            <w:r>
              <w:rPr>
                <w:sz w:val="14"/>
              </w:rPr>
              <w:t>MOB-006</w:t>
            </w:r>
          </w:p>
        </w:tc>
        <w:tc>
          <w:tcPr>
            <w:tcW w:type="dxa" w:w="5011"/>
            <w:vAlign w:val="center"/>
          </w:tcPr>
          <w:p>
            <w:pPr>
              <w:spacing w:after="20"/>
            </w:pPr>
            <w:r>
              <w:rPr>
                <w:sz w:val="14"/>
              </w:rPr>
              <w:t>Presença dos campos obrigatórios do cadastro</w:t>
            </w:r>
          </w:p>
        </w:tc>
      </w:tr>
      <w:tr>
        <w:tc>
          <w:tcPr>
            <w:tcW w:type="dxa" w:w="5011"/>
            <w:vAlign w:val="center"/>
          </w:tcPr>
          <w:p>
            <w:pPr>
              <w:spacing w:after="20"/>
            </w:pPr>
            <w:r>
              <w:rPr>
                <w:sz w:val="14"/>
              </w:rPr>
              <w:t>MOB-007</w:t>
            </w:r>
          </w:p>
        </w:tc>
        <w:tc>
          <w:tcPr>
            <w:tcW w:type="dxa" w:w="5011"/>
            <w:vAlign w:val="center"/>
          </w:tcPr>
          <w:p>
            <w:pPr>
              <w:spacing w:after="20"/>
            </w:pPr>
            <w:r>
              <w:rPr>
                <w:sz w:val="14"/>
              </w:rPr>
              <w:t>Preenchimento dos dados de cadastro</w:t>
            </w:r>
          </w:p>
        </w:tc>
      </w:tr>
      <w:tr>
        <w:tc>
          <w:tcPr>
            <w:tcW w:type="dxa" w:w="5011"/>
            <w:vAlign w:val="center"/>
          </w:tcPr>
          <w:p>
            <w:pPr>
              <w:spacing w:after="20"/>
            </w:pPr>
            <w:r>
              <w:rPr>
                <w:sz w:val="14"/>
              </w:rPr>
              <w:t>MOB-008</w:t>
            </w:r>
          </w:p>
        </w:tc>
        <w:tc>
          <w:tcPr>
            <w:tcW w:type="dxa" w:w="5011"/>
            <w:vAlign w:val="center"/>
          </w:tcPr>
          <w:p>
            <w:pPr>
              <w:spacing w:after="20"/>
            </w:pPr>
            <w:r>
              <w:rPr>
                <w:sz w:val="14"/>
              </w:rPr>
              <w:t>Entrada e apresentação de texto</w:t>
            </w:r>
          </w:p>
        </w:tc>
      </w:tr>
      <w:tr>
        <w:tc>
          <w:tcPr>
            <w:tcW w:type="dxa" w:w="5011"/>
            <w:vAlign w:val="center"/>
          </w:tcPr>
          <w:p>
            <w:pPr>
              <w:spacing w:after="20"/>
            </w:pPr>
            <w:r>
              <w:rPr>
                <w:sz w:val="14"/>
              </w:rPr>
              <w:t>MOB-009</w:t>
            </w:r>
          </w:p>
        </w:tc>
        <w:tc>
          <w:tcPr>
            <w:tcW w:type="dxa" w:w="5011"/>
            <w:vAlign w:val="center"/>
          </w:tcPr>
          <w:p>
            <w:pPr>
              <w:spacing w:after="20"/>
            </w:pPr>
            <w:r>
              <w:rPr>
                <w:sz w:val="14"/>
              </w:rPr>
              <w:t>Alternância do switch e mensagem</w:t>
            </w:r>
          </w:p>
        </w:tc>
      </w:tr>
      <w:tr>
        <w:tc>
          <w:tcPr>
            <w:tcW w:type="dxa" w:w="5011"/>
            <w:vAlign w:val="center"/>
          </w:tcPr>
          <w:p>
            <w:pPr>
              <w:spacing w:after="20"/>
            </w:pPr>
            <w:r>
              <w:rPr>
                <w:sz w:val="14"/>
              </w:rPr>
              <w:t>MOB-010</w:t>
            </w:r>
          </w:p>
        </w:tc>
        <w:tc>
          <w:tcPr>
            <w:tcW w:type="dxa" w:w="5011"/>
            <w:vAlign w:val="center"/>
          </w:tcPr>
          <w:p>
            <w:pPr>
              <w:spacing w:after="20"/>
            </w:pPr>
            <w:r>
              <w:rPr>
                <w:sz w:val="14"/>
              </w:rPr>
              <w:t>Abertura do dropdown</w:t>
            </w:r>
          </w:p>
        </w:tc>
      </w:tr>
    </w:tbl>
    <w:p>
      <w:r>
        <w:t>Utilizei Page Object Model para centralizar seletores e ações. Corrigi a navegação para selecionar explicitamente o formulário Login mesmo após uso de Sign Up; preservei e restaurei estado de switch e tratei o fechamento do dropdown. Para os resultados Allure finais, desabilitei o registro automático de comandos WebDriver e verifiquei que os valores sintéticos pesquisados não apareciam nos artefatos gerados. Isso não substitui uma auditoria completa de segurança.</w:t>
      </w:r>
    </w:p>
    <w:p>
      <w:pPr>
        <w:pStyle w:val="Heading1"/>
      </w:pPr>
      <w:r>
        <w:t>6. GitLab CI/CD — execução automatizada de API</w:t>
      </w:r>
    </w:p>
    <w:p>
      <w:r>
        <w:t>Publiquei o projeto no repositório público gitlab.com/fernando-damasio-group/carrefour-qae-automation. Executei a pipeline #2944807970 na branch main. O job api_tests (#17157098608) concluiu com sucesso em runner Linux, utilizando npm ci, npm run typecheck e npm test; os 23 testes foram aprovados e o JUnit foi disponibilizado como artefato. Pipelines posteriores também foram aprovadas.</w:t>
      </w:r>
    </w:p>
    <w:p>
      <w:r>
        <w:t>A configuração CI/CD contém o job automatizado da API e jobs Mobile preparados para runners especializados. Os dez testes Android foram executados localmente, com evidências Allure; não houve execução Android em runner GitLab.</w:t>
      </w:r>
    </w:p>
    <w:p>
      <w:r>
        <w:t>Evidências da pipeline de API: https://gitlab.com/fernando-damasio-group/carrefour-qae-automation/-/pipelines/2944807970 | job: https://gitlab.com/fernando-damasio-group/carrefour-qae-automation/-/jobs/17157098608.</w:t>
      </w:r>
    </w:p>
    <w:p>
      <w:pPr>
        <w:pStyle w:val="Heading1"/>
      </w:pPr>
      <w:r>
        <w:t>7. Escopo de plataforma Mobile</w:t>
      </w:r>
    </w:p>
    <w:p>
      <w:r>
        <w:t>Executei a suíte Mobile no Android 15, no emulador Carrefour_QAE_API35. Mantive uma configuração inicial para iOS, sem executar testes nessa plataforma, conforme alinhamento da entrega com a recrutadora.</w:t>
      </w:r>
    </w:p>
    <w:p>
      <w:pPr>
        <w:pStyle w:val="Heading1"/>
      </w:pPr>
      <w:r>
        <w:t>8. Especificações BDD e rastreabilidade</w:t>
      </w:r>
    </w:p>
    <w:p>
      <w:r>
        <w:t>Documentei as especificações em bdd/api.feature e bdd/mobile.feature, com correspondência entre identificadores de cenários e testes automatizados. API-014 utiliza dois exemplos parametrizados e API-015 possui duas verificações no mesmo agrupamento: por isso, o número de execuções é maior que o de identificadores-base. Os arquivos Gherkin são especificações rastreáveis; não foram executados por Cucumber, e não há step definitions integradas ao runner.</w:t>
      </w:r>
    </w:p>
    <w:p>
      <w:pPr>
        <w:pStyle w:val="Heading1"/>
      </w:pPr>
      <w:r>
        <w:t>9. Reprodução e artefatos</w:t>
      </w:r>
    </w:p>
    <w:p>
      <w:r>
        <w:t>API: cd api-tests; npm ci; npm run typecheck; npm test. A URL de destino pode ser alterada por API_BASE_URL e usa https://serverest.dev por padrão. Relatório: api-tests/reports/junit.xml.</w:t>
      </w:r>
    </w:p>
    <w:p>
      <w:r>
        <w:t>Android: instalar/configurar Android SDK, Java, emulador e Appium com driver UiAutomator2, obter o aplicativo demonstrativo v2.2.0, configurar mobile-tests/.env a partir do exemplo, iniciar Appium e executar npm run test:android. Relatório: mobile-tests/allure-results e HTML gerado com Allure. O pacote de evidências Mobile inclui a execução local aprovada.</w:t>
      </w:r>
    </w:p>
    <w:p>
      <w:r>
        <w:t>Disponibilizei o código e a documentação no GitLab público. O backup compactado fica armazenado separadamente e não é necessário para consultar o repositório. Arquivos .env, dependências e backups locais não são versionados.</w:t>
      </w:r>
    </w:p>
    <w:p>
      <w:pPr>
        <w:pStyle w:val="Heading1"/>
      </w:pPr>
      <w:r>
        <w:t>10. Conclusão</w:t>
      </w:r>
    </w:p>
    <w:p>
      <w:r>
        <w:t>Entreguei 23 testes de API aprovados, dez testes Android aprovados, documentação BDD, relatórios JUnit e Allure e integração contínua de API executada em runner GitLab. Os relatórios registram as ferramentas, as evidências e o escopo das verificações realizadas.</w:t>
      </w:r>
    </w:p>
    <w:p>
      <w:r>
        <w:t>As evidências de Android correspondem à execução local; a integração CI do projeto foi executada e comprovada para a suíte de API.</w:t>
      </w:r>
    </w:p>
    <w:sectPr w:rsidR="00FC693F" w:rsidRPr="0006063C" w:rsidSect="00034616">
      <w:headerReference w:type="default" r:id="rId9"/>
      <w:footerReference w:type="default" r:id="rId10"/>
      <w:pgSz w:w="12240" w:h="15840"/>
      <w:pgMar w:top="979" w:right="1109" w:bottom="864"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Fernando Damasio Alves  •  Relatório técnico de entrega  •  outubro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BANCO CARREFOUR  |  DESAFIO TÉCNICO QA ENGINEER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72D3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11324D"/>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A415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0223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