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CuraDentes</w:t>
      </w:r>
    </w:p>
    <w:p>
      <w:pPr>
        <w:jc w:val="center"/>
      </w:pPr>
      <w:r>
        <w:rPr>
          <w:b/>
          <w:i w:val="0"/>
          <w:color w:val="0A2A66"/>
          <w:sz w:val="32"/>
        </w:rPr>
        <w:t>Documento para Revisão Jurídica</w:t>
      </w:r>
    </w:p>
    <w:p>
      <w:pPr>
        <w:jc w:val="center"/>
      </w:pPr>
      <w:r>
        <w:rPr>
          <w:b w:val="0"/>
          <w:i w:val="0"/>
          <w:color w:val="606060"/>
          <w:sz w:val="24"/>
        </w:rPr>
        <w:t>Política de Privacidade e Termos de Uso · LGPD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Plataforma: curadentes.com.br</w:t>
      </w:r>
    </w:p>
    <w:p>
      <w:pPr>
        <w:jc w:val="center"/>
      </w:pPr>
      <w:r>
        <w:rPr>
          <w:b w:val="0"/>
          <w:i w:val="0"/>
          <w:color w:val="606060"/>
        </w:rPr>
        <w:t>Versão dos textos analisados: 3 de junho de 2026</w:t>
      </w:r>
    </w:p>
    <w:p>
      <w:pPr>
        <w:jc w:val="center"/>
      </w:pPr>
      <w:r>
        <w:rPr>
          <w:b w:val="0"/>
          <w:i w:val="0"/>
          <w:color w:val="606060"/>
        </w:rPr>
        <w:t>Documento gerado em: 12 de junho de 2026</w:t>
      </w:r>
    </w:p>
    <w:p>
      <w:r>
        <w:br w:type="page"/>
      </w:r>
    </w:p>
    <w:p>
      <w:pPr>
        <w:pStyle w:val="Heading1"/>
      </w:pPr>
      <w:r>
        <w:rPr>
          <w:color w:val="0A2A66"/>
        </w:rPr>
        <w:t>1. Objetivo deste documento</w:t>
      </w:r>
    </w:p>
    <w:p>
      <w:r>
        <w:rPr>
          <w:b w:val="0"/>
          <w:i w:val="0"/>
        </w:rPr>
        <w:t>Solicitamos a revisão jurídica da Política de Privacidade e dos Termos de Uso da plataforma CuraDentes, à luz da Lei Geral de Proteção de Dados (LGPD — Lei nº 13.709/2018), do Marco Civil da Internet (Lei nº 12.965/2014) e do Código de Defesa do Consumidor.</w:t>
      </w:r>
    </w:p>
    <w:p>
      <w:r>
        <w:rPr>
          <w:b w:val="0"/>
          <w:i w:val="0"/>
        </w:rPr>
        <w:t>Os textos já existem e estão publicados no site (seções 5 e 6 deste documento). Pedimos atenção especial à seção 7 — “Pontos para revisão” —, que reúne lacunas, placeholders e dúvidas específicas que identificamos internamente e que dependem de orientação jurídica.</w:t>
      </w:r>
    </w:p>
    <w:p>
      <w:pPr>
        <w:pStyle w:val="Heading1"/>
      </w:pPr>
      <w:r>
        <w:rPr>
          <w:color w:val="0A2A66"/>
        </w:rPr>
        <w:t>2. Sobre a plataforma</w:t>
      </w:r>
    </w:p>
    <w:p>
      <w:r>
        <w:rPr>
          <w:b w:val="0"/>
          <w:i w:val="0"/>
        </w:rPr>
        <w:t>O CuraDentes é um diretório e motor de busca que conecta pacientes a dentistas. NÃO é uma clínica, NÃO presta serviços de saúde, NÃO realiza diagnósticos e NÃO intermedia/agenda consultas — atua apenas como vitrine de profissionais.</w:t>
      </w:r>
    </w:p>
    <w:p>
      <w:pPr>
        <w:pStyle w:val="ListBullet"/>
      </w:pPr>
      <w:r>
        <w:rPr>
          <w:b/>
        </w:rPr>
        <w:t xml:space="preserve">Dois perfis de usuário: </w:t>
      </w:r>
      <w:r>
        <w:t>paciente (acessa por login social Google) e dentista (“CuraDentes Pro”, cadastro completo).</w:t>
      </w:r>
    </w:p>
    <w:p>
      <w:pPr>
        <w:pStyle w:val="ListBullet"/>
      </w:pPr>
      <w:r>
        <w:rPr>
          <w:b/>
        </w:rPr>
        <w:t xml:space="preserve">Hospedagem de dados: </w:t>
      </w:r>
      <w:r>
        <w:t>Supabase (banco PostgreSQL, autenticação e armazenamento de arquivos).</w:t>
      </w:r>
    </w:p>
    <w:p>
      <w:pPr>
        <w:pStyle w:val="ListBullet"/>
      </w:pPr>
      <w:r>
        <w:rPr>
          <w:b/>
        </w:rPr>
        <w:t xml:space="preserve">Serviços de terceiros: </w:t>
      </w:r>
      <w:r>
        <w:t>Google (login social), ViaCEP (consulta de CEP), Resend (envio de e-mails transacionais).</w:t>
      </w:r>
    </w:p>
    <w:p>
      <w:pPr>
        <w:pStyle w:val="ListBullet"/>
      </w:pPr>
      <w:r>
        <w:rPr>
          <w:b/>
        </w:rPr>
        <w:t xml:space="preserve">Modelo de dados: </w:t>
      </w:r>
      <w:r>
        <w:t>não há venda de dados a terceiros; não há cookies de rastreamento ou publicidade.</w:t>
      </w:r>
    </w:p>
    <w:p>
      <w:pPr>
        <w:pStyle w:val="Heading1"/>
      </w:pPr>
      <w:r>
        <w:rPr>
          <w:color w:val="0A2A66"/>
        </w:rPr>
        <w:t>3. Dados pessoais tratados</w:t>
      </w:r>
    </w:p>
    <w:p>
      <w:pPr>
        <w:pStyle w:val="Heading3"/>
      </w:pPr>
      <w:r>
        <w:t>Dentistas (CuraDentes Pro)</w:t>
      </w:r>
    </w:p>
    <w:p>
      <w:pPr>
        <w:pStyle w:val="ListBullet"/>
      </w:pPr>
      <w:r>
        <w:t>Nome completo, e-mail, telefone celular e CPF</w:t>
      </w:r>
    </w:p>
    <w:p>
      <w:pPr>
        <w:pStyle w:val="ListBullet"/>
      </w:pPr>
      <w:r>
        <w:t>CRO (Conselho Regional de Odontologia) e ano de formação</w:t>
      </w:r>
    </w:p>
    <w:p>
      <w:pPr>
        <w:pStyle w:val="ListBullet"/>
      </w:pPr>
      <w:r>
        <w:t>Foto de perfil</w:t>
      </w:r>
    </w:p>
    <w:p>
      <w:pPr>
        <w:pStyle w:val="ListBullet"/>
      </w:pPr>
      <w:r>
        <w:t>Endereço completo do consultório (logradouro, número, bairro, cidade, estado, CEP)</w:t>
      </w:r>
    </w:p>
    <w:p>
      <w:pPr>
        <w:pStyle w:val="ListBullet"/>
      </w:pPr>
      <w:r>
        <w:t>Telefone/WhatsApp do consultório, procedimentos, convênios, formas de pagamento, agenda</w:t>
      </w:r>
    </w:p>
    <w:p>
      <w:pPr>
        <w:pStyle w:val="ListBullet"/>
      </w:pPr>
      <w:r>
        <w:t>Geolocalização (latitude/longitude) derivada do endereço</w:t>
      </w:r>
    </w:p>
    <w:p>
      <w:pPr>
        <w:pStyle w:val="Heading3"/>
      </w:pPr>
      <w:r>
        <w:t>Pacientes</w:t>
      </w:r>
    </w:p>
    <w:p>
      <w:pPr>
        <w:pStyle w:val="ListBullet"/>
      </w:pPr>
      <w:r>
        <w:t>Nome completo e e-mail (via login Google)</w:t>
      </w:r>
    </w:p>
    <w:p>
      <w:pPr>
        <w:pStyle w:val="ListBullet"/>
      </w:pPr>
      <w:r>
        <w:t>Foto de perfil (via Google, quando disponível)</w:t>
      </w:r>
    </w:p>
    <w:p>
      <w:pPr>
        <w:pStyle w:val="ListBullet"/>
      </w:pPr>
      <w:r>
        <w:t>Geolocalização aproximada (latitude/longitude), apenas quando autorizada pelo navegador</w:t>
      </w:r>
    </w:p>
    <w:p>
      <w:pPr>
        <w:pStyle w:val="Heading3"/>
      </w:pPr>
      <w:r>
        <w:t>Avaliações e dados automáticos</w:t>
      </w:r>
    </w:p>
    <w:p>
      <w:pPr>
        <w:pStyle w:val="ListBullet"/>
      </w:pPr>
      <w:r>
        <w:t>Avaliações: nota (1–5), especialidade avaliada e identificador do paciente avaliador</w:t>
      </w:r>
    </w:p>
    <w:p>
      <w:pPr>
        <w:pStyle w:val="ListBullet"/>
      </w:pPr>
      <w:r>
        <w:t>Automáticos: endereço IP, dados de navegação, preferências de busca, cache local (localStorage)</w:t>
      </w:r>
    </w:p>
    <w:p>
      <w:pPr>
        <w:pStyle w:val="Heading1"/>
      </w:pPr>
      <w:r>
        <w:rPr>
          <w:color w:val="0A2A66"/>
        </w:rPr>
        <w:t>4. Medidas de proteção / LGPD já implementadas</w:t>
      </w:r>
    </w:p>
    <w:p>
      <w:r>
        <w:rPr>
          <w:b w:val="0"/>
          <w:i w:val="0"/>
        </w:rPr>
        <w:t>Para que o jurídico avalie a suficiência das medidas técnicas e organizacionais já adotadas:</w:t>
      </w:r>
    </w:p>
    <w:p>
      <w:pPr>
        <w:pStyle w:val="ListBullet"/>
      </w:pPr>
      <w:r>
        <w:rPr>
          <w:b/>
        </w:rPr>
        <w:t xml:space="preserve">Consentimento explícito: </w:t>
      </w:r>
      <w:r>
        <w:t>o dentista aceita formalmente na etapa de consentimento do cadastro.</w:t>
      </w:r>
    </w:p>
    <w:p>
      <w:pPr>
        <w:pStyle w:val="ListBullet"/>
      </w:pPr>
      <w:r>
        <w:rPr>
          <w:b/>
        </w:rPr>
        <w:t xml:space="preserve">Direito ao esquecimento: </w:t>
      </w:r>
      <w:r>
        <w:t>função de exclusão de conta (soft delete) acionável pelo titular.</w:t>
      </w:r>
    </w:p>
    <w:p>
      <w:pPr>
        <w:pStyle w:val="ListBullet"/>
      </w:pPr>
      <w:r>
        <w:rPr>
          <w:b/>
        </w:rPr>
        <w:t xml:space="preserve">Proteção do CPF: </w:t>
      </w:r>
      <w:r>
        <w:t>o CPF fica isolado em tabela com acesso restrito por linha (RLS); apenas o próprio titular lê seu CPF.</w:t>
      </w:r>
    </w:p>
    <w:p>
      <w:pPr>
        <w:pStyle w:val="ListBullet"/>
      </w:pPr>
      <w:r>
        <w:rPr>
          <w:b/>
        </w:rPr>
        <w:t xml:space="preserve">Geolocalização do paciente — retenção zero: </w:t>
      </w:r>
      <w:r>
        <w:t>lat/lng é eliminada IMEDIATAMENTE na exclusão da conta (não há retenção da localização precisa após o “esquecimento”).</w:t>
      </w:r>
    </w:p>
    <w:p>
      <w:pPr>
        <w:pStyle w:val="ListBullet"/>
      </w:pPr>
      <w:r>
        <w:rPr>
          <w:b/>
        </w:rPr>
        <w:t xml:space="preserve">Controle de acesso: </w:t>
      </w:r>
      <w:r>
        <w:t>Row Level Security (RLS) por usuário no banco de dados.</w:t>
      </w:r>
    </w:p>
    <w:p>
      <w:pPr>
        <w:pStyle w:val="ListBullet"/>
      </w:pPr>
      <w:r>
        <w:rPr>
          <w:b/>
        </w:rPr>
        <w:t xml:space="preserve">Segurança: </w:t>
      </w:r>
      <w:r>
        <w:t>criptografia em trânsito (HTTPS/TLS); senhas com hash (bcrypt); tokens JWT com expiração.</w:t>
      </w:r>
    </w:p>
    <w:p>
      <w:pPr>
        <w:pStyle w:val="ListBullet"/>
      </w:pPr>
      <w:r>
        <w:rPr>
          <w:b/>
        </w:rPr>
        <w:t xml:space="preserve">Verificação profissional: </w:t>
      </w:r>
      <w:r>
        <w:t>processo de verificação de CRO dos dentistas.</w:t>
      </w:r>
    </w:p>
    <w:p>
      <w:r>
        <w:br w:type="page"/>
      </w:r>
    </w:p>
    <w:p>
      <w:pPr>
        <w:pStyle w:val="Heading1"/>
      </w:pPr>
      <w:r>
        <w:rPr>
          <w:color w:val="0A2A66"/>
        </w:rPr>
        <w:t>5. Texto ATUAL — Política de Privacidade</w:t>
      </w:r>
    </w:p>
    <w:p>
      <w:r>
        <w:rPr>
          <w:b w:val="0"/>
          <w:i/>
          <w:color w:val="606060"/>
        </w:rPr>
        <w:t>Última atualização: 3 de junho de 2026</w:t>
      </w:r>
    </w:p>
    <w:p>
      <w:pPr>
        <w:pStyle w:val="Heading2"/>
      </w:pPr>
      <w:r>
        <w:rPr>
          <w:color w:val="0A2A66"/>
        </w:rPr>
        <w:t>1. Introdução</w:t>
      </w:r>
    </w:p>
    <w:p>
      <w:r>
        <w:rPr>
          <w:b w:val="0"/>
          <w:i w:val="0"/>
        </w:rPr>
        <w:t>A CuraDentes (“nós”, “nosso” ou “plataforma”) está comprometida com a proteção da privacidade dos seus usuários. Esta Política de Privacidade descreve como coletamos, usamos, armazenamos e compartilhamos suas informações pessoais quando você utiliza nossa plataforma, em conformidade com a Lei Geral de Proteção de Dados Pessoais (LGPD — Lei nº 13.709/2018).</w:t>
      </w:r>
    </w:p>
    <w:p>
      <w:r>
        <w:rPr>
          <w:b w:val="0"/>
          <w:i w:val="0"/>
        </w:rPr>
        <w:t>Ao utilizar o CuraDentes, você declara estar ciente e de acordo com as práticas descritas neste documento. Se você é um dentista cadastrado em nossa plataforma (“CuraDentes Pro”), a aceitação formal ocorre na etapa de consentimento do cadastro.</w:t>
      </w:r>
    </w:p>
    <w:p>
      <w:pPr>
        <w:pStyle w:val="Heading2"/>
      </w:pPr>
      <w:r>
        <w:rPr>
          <w:color w:val="0A2A66"/>
        </w:rPr>
        <w:t>2. Dados que coletamos</w:t>
      </w:r>
    </w:p>
    <w:p>
      <w:r>
        <w:rPr>
          <w:b w:val="0"/>
          <w:i w:val="0"/>
        </w:rPr>
        <w:t>Coletamos as seguintes categorias de dados pessoais:</w:t>
      </w:r>
    </w:p>
    <w:p>
      <w:r>
        <w:rPr>
          <w:b/>
          <w:i w:val="0"/>
        </w:rPr>
        <w:t>2.1. Dados dos dentistas (CuraDentes Pro)</w:t>
      </w:r>
    </w:p>
    <w:p>
      <w:pPr>
        <w:pStyle w:val="ListBullet"/>
      </w:pPr>
      <w:r>
        <w:t>Nome completo, e-mail, telefone celular e CPF</w:t>
      </w:r>
    </w:p>
    <w:p>
      <w:pPr>
        <w:pStyle w:val="ListBullet"/>
      </w:pPr>
      <w:r>
        <w:t>CRO (Conselho Regional de Odontologia) e ano de formação</w:t>
      </w:r>
    </w:p>
    <w:p>
      <w:pPr>
        <w:pStyle w:val="ListBullet"/>
      </w:pPr>
      <w:r>
        <w:t>Foto de perfil (fornecida voluntariamente)</w:t>
      </w:r>
    </w:p>
    <w:p>
      <w:pPr>
        <w:pStyle w:val="ListBullet"/>
      </w:pPr>
      <w:r>
        <w:t>Dados de endereço: logradouro, número, complemento, bairro, cidade, estado e CEP</w:t>
      </w:r>
    </w:p>
    <w:p>
      <w:pPr>
        <w:pStyle w:val="ListBullet"/>
      </w:pPr>
      <w:r>
        <w:t>Telefone e WhatsApp do consultório</w:t>
      </w:r>
    </w:p>
    <w:p>
      <w:pPr>
        <w:pStyle w:val="ListBullet"/>
      </w:pPr>
      <w:r>
        <w:t>Procedimentos realizados, convênios aceitos e formas de pagamento</w:t>
      </w:r>
    </w:p>
    <w:p>
      <w:pPr>
        <w:pStyle w:val="ListBullet"/>
      </w:pPr>
      <w:r>
        <w:t>Agenda de horários de atendimento</w:t>
      </w:r>
    </w:p>
    <w:p>
      <w:pPr>
        <w:pStyle w:val="ListBullet"/>
      </w:pPr>
      <w:r>
        <w:t>Política de cancelamento e observações</w:t>
      </w:r>
    </w:p>
    <w:p>
      <w:pPr>
        <w:pStyle w:val="ListBullet"/>
      </w:pPr>
      <w:r>
        <w:t>Geolocalização (latitude/longitude) gerada automaticamente a partir do endereço</w:t>
      </w:r>
    </w:p>
    <w:p>
      <w:r>
        <w:rPr>
          <w:b/>
          <w:i w:val="0"/>
        </w:rPr>
        <w:t>2.2. Dados dos pacientes</w:t>
      </w:r>
    </w:p>
    <w:p>
      <w:pPr>
        <w:pStyle w:val="ListBullet"/>
      </w:pPr>
      <w:r>
        <w:t>Nome completo e e-mail (fornecidos pelo login do Google)</w:t>
      </w:r>
    </w:p>
    <w:p>
      <w:pPr>
        <w:pStyle w:val="ListBullet"/>
      </w:pPr>
      <w:r>
        <w:t>Foto de perfil (fornecida pelo Google, quando disponível)</w:t>
      </w:r>
    </w:p>
    <w:p>
      <w:pPr>
        <w:pStyle w:val="ListBullet"/>
      </w:pPr>
      <w:r>
        <w:t>Localização aproximada (latitude/longitude) quando autorizada pelo navegador</w:t>
      </w:r>
    </w:p>
    <w:p>
      <w:r>
        <w:rPr>
          <w:b/>
          <w:i w:val="0"/>
        </w:rPr>
        <w:t>2.3. Dados de avaliações</w:t>
      </w:r>
    </w:p>
    <w:p>
      <w:pPr>
        <w:pStyle w:val="ListBullet"/>
      </w:pPr>
      <w:r>
        <w:t>Nota (1 a 5) atribuída a um dentista</w:t>
      </w:r>
    </w:p>
    <w:p>
      <w:pPr>
        <w:pStyle w:val="ListBullet"/>
      </w:pPr>
      <w:r>
        <w:t>Especialidade avaliada</w:t>
      </w:r>
    </w:p>
    <w:p>
      <w:pPr>
        <w:pStyle w:val="ListBullet"/>
      </w:pPr>
      <w:r>
        <w:t>Registro do paciente avaliador (ID anônimo)</w:t>
      </w:r>
    </w:p>
    <w:p>
      <w:r>
        <w:rPr>
          <w:b/>
          <w:i w:val="0"/>
        </w:rPr>
        <w:t>2.4. Dados coletados automaticamente</w:t>
      </w:r>
    </w:p>
    <w:p>
      <w:pPr>
        <w:pStyle w:val="ListBullet"/>
      </w:pPr>
      <w:r>
        <w:t>Endereço IP e dados de navegação (user agent, páginas acessadas)</w:t>
      </w:r>
    </w:p>
    <w:p>
      <w:pPr>
        <w:pStyle w:val="ListBullet"/>
      </w:pPr>
      <w:r>
        <w:t>Preferências de busca e filtros utilizados</w:t>
      </w:r>
    </w:p>
    <w:p>
      <w:pPr>
        <w:pStyle w:val="ListBullet"/>
      </w:pPr>
      <w:r>
        <w:t>Dados de cache armazenados localmente no navegador (localStorage)</w:t>
      </w:r>
    </w:p>
    <w:p>
      <w:pPr>
        <w:pStyle w:val="Heading2"/>
      </w:pPr>
      <w:r>
        <w:rPr>
          <w:color w:val="0A2A66"/>
        </w:rPr>
        <w:t>3. Finalidade do tratamento</w:t>
      </w:r>
    </w:p>
    <w:p>
      <w:r>
        <w:rPr>
          <w:b w:val="0"/>
          <w:i w:val="0"/>
        </w:rPr>
        <w:t>Utilizamos seus dados para as seguintes finalidades:</w:t>
      </w:r>
    </w:p>
    <w:p>
      <w:pPr>
        <w:pStyle w:val="ListBullet"/>
      </w:pPr>
      <w:r>
        <w:rPr>
          <w:b/>
        </w:rPr>
        <w:t xml:space="preserve">Viabilizar a plataforma: </w:t>
      </w:r>
      <w:r>
        <w:t>conectar pacientes a dentistas, exibir perfis profissionais, permitir busca por localização e especialidade.</w:t>
      </w:r>
    </w:p>
    <w:p>
      <w:pPr>
        <w:pStyle w:val="ListBullet"/>
      </w:pPr>
      <w:r>
        <w:rPr>
          <w:b/>
        </w:rPr>
        <w:t xml:space="preserve">Gerenciar sua conta: </w:t>
      </w:r>
      <w:r>
        <w:t>autenticação, recuperação de senha e manutenção do cadastro profissional.</w:t>
      </w:r>
    </w:p>
    <w:p>
      <w:pPr>
        <w:pStyle w:val="ListBullet"/>
      </w:pPr>
      <w:r>
        <w:rPr>
          <w:b/>
        </w:rPr>
        <w:t xml:space="preserve">Recomendações: </w:t>
      </w:r>
      <w:r>
        <w:t>exibir dentistas próximos com base na sua localização ou filtros selecionados.</w:t>
      </w:r>
    </w:p>
    <w:p>
      <w:pPr>
        <w:pStyle w:val="ListBullet"/>
      </w:pPr>
      <w:r>
        <w:rPr>
          <w:b/>
        </w:rPr>
        <w:t xml:space="preserve">Melhoria do serviço: </w:t>
      </w:r>
      <w:r>
        <w:t>analisar padrões de uso para aprimorar a experiência e corrigir falhas.</w:t>
      </w:r>
    </w:p>
    <w:p>
      <w:pPr>
        <w:pStyle w:val="ListBullet"/>
      </w:pPr>
      <w:r>
        <w:rPr>
          <w:b/>
        </w:rPr>
        <w:t xml:space="preserve">Comunicação: </w:t>
      </w:r>
      <w:r>
        <w:t>enviar comunicados operacionais (confirmação de cadastro, alterações na plataforma).</w:t>
      </w:r>
    </w:p>
    <w:p>
      <w:pPr>
        <w:pStyle w:val="ListBullet"/>
      </w:pPr>
      <w:r>
        <w:rPr>
          <w:b/>
        </w:rPr>
        <w:t xml:space="preserve">Segurança: </w:t>
      </w:r>
      <w:r>
        <w:t>prevenir fraudes, garantir a integridade dos dados e cumprir obrigações legais.</w:t>
      </w:r>
    </w:p>
    <w:p>
      <w:pPr>
        <w:pStyle w:val="Heading2"/>
      </w:pPr>
      <w:r>
        <w:rPr>
          <w:color w:val="0A2A66"/>
        </w:rPr>
        <w:t>4. Base legal para o tratamento</w:t>
      </w:r>
    </w:p>
    <w:p>
      <w:r>
        <w:rPr>
          <w:b w:val="0"/>
          <w:i w:val="0"/>
        </w:rPr>
        <w:t>Em conformidade com o art. 7º da LGPD, as bases legais que utilizamos são:</w:t>
      </w:r>
    </w:p>
    <w:p>
      <w:pPr>
        <w:pStyle w:val="ListBullet"/>
      </w:pPr>
      <w:r>
        <w:rPr>
          <w:b/>
        </w:rPr>
        <w:t xml:space="preserve">Consentimento (art. 7º, I): </w:t>
      </w:r>
      <w:r>
        <w:t>para o cadastro de dentistas, mediante aceite expresso na etapa de consentimento.</w:t>
      </w:r>
    </w:p>
    <w:p>
      <w:pPr>
        <w:pStyle w:val="ListBullet"/>
      </w:pPr>
      <w:r>
        <w:rPr>
          <w:b/>
        </w:rPr>
        <w:t xml:space="preserve">Execução de contrato (art. 7º, V): </w:t>
      </w:r>
      <w:r>
        <w:t>para viabilizar o funcionamento da plataforma e a conexão entre pacientes e dentistas.</w:t>
      </w:r>
    </w:p>
    <w:p>
      <w:pPr>
        <w:pStyle w:val="ListBullet"/>
      </w:pPr>
      <w:r>
        <w:rPr>
          <w:b/>
        </w:rPr>
        <w:t xml:space="preserve">Legítimo interesse (art. 7º, IX): </w:t>
      </w:r>
      <w:r>
        <w:t>para análises internas, melhoria do serviço e segurança da plataforma.</w:t>
      </w:r>
    </w:p>
    <w:p>
      <w:pPr>
        <w:pStyle w:val="ListBullet"/>
      </w:pPr>
      <w:r>
        <w:rPr>
          <w:b/>
        </w:rPr>
        <w:t xml:space="preserve">Obrigação legal (art. 7º, II): </w:t>
      </w:r>
      <w:r>
        <w:t>para cumprir requisitos regulatórios e ordens judiciais.</w:t>
      </w:r>
    </w:p>
    <w:p>
      <w:pPr>
        <w:pStyle w:val="Heading2"/>
      </w:pPr>
      <w:r>
        <w:rPr>
          <w:color w:val="0A2A66"/>
        </w:rPr>
        <w:t>5. Compartilhamento de dados</w:t>
      </w:r>
    </w:p>
    <w:p>
      <w:r>
        <w:rPr>
          <w:b w:val="0"/>
          <w:i w:val="0"/>
        </w:rPr>
        <w:t>Compartilhamos seus dados apenas nas seguintes circunstâncias:</w:t>
      </w:r>
    </w:p>
    <w:p>
      <w:pPr>
        <w:pStyle w:val="ListBullet"/>
      </w:pPr>
      <w:r>
        <w:rPr>
          <w:b/>
        </w:rPr>
        <w:t xml:space="preserve">Com prestadores de serviço: </w:t>
      </w:r>
      <w:r>
        <w:t>como o Supabase (hospedagem de banco de dados e autenticação) e ViaCEP (consulta de CEP). Esses parceiros são contratualmente obrigados a proteger seus dados.</w:t>
      </w:r>
    </w:p>
    <w:p>
      <w:pPr>
        <w:pStyle w:val="ListBullet"/>
      </w:pPr>
      <w:r>
        <w:rPr>
          <w:b/>
        </w:rPr>
        <w:t xml:space="preserve">Com outros usuários: </w:t>
      </w:r>
      <w:r>
        <w:t>os dados do perfil do dentista (nome, CRO, endereços, agenda, convênios) são públicos para pacientes que utilizam a busca.</w:t>
      </w:r>
    </w:p>
    <w:p>
      <w:pPr>
        <w:pStyle w:val="ListBullet"/>
      </w:pPr>
      <w:r>
        <w:rPr>
          <w:b/>
        </w:rPr>
        <w:t xml:space="preserve">Por determinação legal: </w:t>
      </w:r>
      <w:r>
        <w:t>mediante ordem judicial ou requisição de autoridade competente.</w:t>
      </w:r>
    </w:p>
    <w:p>
      <w:r>
        <w:rPr>
          <w:b w:val="0"/>
          <w:i/>
          <w:color w:val="606060"/>
        </w:rPr>
        <w:t>O CuraDentes não vende dados pessoais para terceiros.</w:t>
      </w:r>
    </w:p>
    <w:p>
      <w:pPr>
        <w:pStyle w:val="Heading2"/>
      </w:pPr>
      <w:r>
        <w:rPr>
          <w:color w:val="0A2A66"/>
        </w:rPr>
        <w:t>6. Cookies e tecnologias semelhantes</w:t>
      </w:r>
    </w:p>
    <w:p>
      <w:r>
        <w:rPr>
          <w:b w:val="0"/>
          <w:i w:val="0"/>
        </w:rPr>
        <w:t>Utilizamos o localStorage do navegador para armazenar preferências de navegação e dados de cache, como:</w:t>
      </w:r>
    </w:p>
    <w:p>
      <w:pPr>
        <w:pStyle w:val="ListBullet"/>
      </w:pPr>
      <w:r>
        <w:t>Rascunho de cadastro (para evitar perda de dados durante o registro)</w:t>
      </w:r>
    </w:p>
    <w:p>
      <w:pPr>
        <w:pStyle w:val="ListBullet"/>
      </w:pPr>
      <w:r>
        <w:t>Cache de consultas de CEP (para evitar reconsultas desnecessárias à API ViaCEP)</w:t>
      </w:r>
    </w:p>
    <w:p>
      <w:pPr>
        <w:pStyle w:val="ListBullet"/>
      </w:pPr>
      <w:r>
        <w:t>Cache de localização do usuário (para lembrar sua cidade por 30 minutos)</w:t>
      </w:r>
    </w:p>
    <w:p>
      <w:pPr>
        <w:pStyle w:val="ListBullet"/>
      </w:pPr>
      <w:r>
        <w:t>Cache de resultados de busca (para exibição offline-first)</w:t>
      </w:r>
    </w:p>
    <w:p>
      <w:r>
        <w:rPr>
          <w:b w:val="0"/>
          <w:i w:val="0"/>
        </w:rPr>
        <w:t>Atualmente não utilizamos cookies de rastreamento ou publicidade. Caso isso mude, atualizaremos esta política com antecedência.</w:t>
      </w:r>
    </w:p>
    <w:p>
      <w:pPr>
        <w:pStyle w:val="Heading2"/>
      </w:pPr>
      <w:r>
        <w:rPr>
          <w:color w:val="0A2A66"/>
        </w:rPr>
        <w:t>7. Seus direitos (LGPD)</w:t>
      </w:r>
    </w:p>
    <w:p>
      <w:r>
        <w:rPr>
          <w:b w:val="0"/>
          <w:i w:val="0"/>
        </w:rPr>
        <w:t>Nos termos da LGPD (arts. 17 a 22), você possui os seguintes direitos em relação aos seus dados pessoais:</w:t>
      </w:r>
    </w:p>
    <w:p>
      <w:pPr>
        <w:pStyle w:val="ListBullet"/>
      </w:pPr>
      <w:r>
        <w:rPr>
          <w:b/>
        </w:rPr>
        <w:t xml:space="preserve">Confirmação e acesso: </w:t>
      </w:r>
      <w:r>
        <w:t>saber se tratamos seus dados e acessá-los</w:t>
      </w:r>
    </w:p>
    <w:p>
      <w:pPr>
        <w:pStyle w:val="ListBullet"/>
      </w:pPr>
      <w:r>
        <w:rPr>
          <w:b/>
        </w:rPr>
        <w:t xml:space="preserve">Correção: </w:t>
      </w:r>
      <w:r>
        <w:t>corrigir dados incompletos, inexatos ou desatualizados</w:t>
      </w:r>
    </w:p>
    <w:p>
      <w:pPr>
        <w:pStyle w:val="ListBullet"/>
      </w:pPr>
      <w:r>
        <w:rPr>
          <w:b/>
        </w:rPr>
        <w:t xml:space="preserve">Anonimização ou exclusão: </w:t>
      </w:r>
      <w:r>
        <w:t>solicitar a eliminação de dados desnecessários</w:t>
      </w:r>
    </w:p>
    <w:p>
      <w:pPr>
        <w:pStyle w:val="ListBullet"/>
      </w:pPr>
      <w:r>
        <w:rPr>
          <w:b/>
        </w:rPr>
        <w:t xml:space="preserve">Portabilidade: </w:t>
      </w:r>
      <w:r>
        <w:t>solicitar a transferência a outro fornecedor</w:t>
      </w:r>
    </w:p>
    <w:p>
      <w:pPr>
        <w:pStyle w:val="ListBullet"/>
      </w:pPr>
      <w:r>
        <w:rPr>
          <w:b/>
        </w:rPr>
        <w:t xml:space="preserve">Revogação do consentimento: </w:t>
      </w:r>
      <w:r>
        <w:t>retirar seu consentimento a qualquer momento</w:t>
      </w:r>
    </w:p>
    <w:p>
      <w:pPr>
        <w:pStyle w:val="ListBullet"/>
      </w:pPr>
      <w:r>
        <w:rPr>
          <w:b/>
        </w:rPr>
        <w:t xml:space="preserve">Oposição: </w:t>
      </w:r>
      <w:r>
        <w:t>opor-se ao tratamento com base no legítimo interesse</w:t>
      </w:r>
    </w:p>
    <w:p>
      <w:pPr>
        <w:pStyle w:val="ListBullet"/>
      </w:pPr>
      <w:r>
        <w:rPr>
          <w:b/>
        </w:rPr>
        <w:t xml:space="preserve">Informação sobre compartilhamento: </w:t>
      </w:r>
      <w:r>
        <w:t>saber com quais entidades compartilhamos seus dados</w:t>
      </w:r>
    </w:p>
    <w:p>
      <w:r>
        <w:rPr>
          <w:b w:val="0"/>
          <w:i w:val="0"/>
        </w:rPr>
        <w:t>Para exercer seus direitos, entre em contato pelo e-mail/formulário da seção “Contato”. Responderemos em até 15 dias.</w:t>
      </w:r>
    </w:p>
    <w:p>
      <w:pPr>
        <w:pStyle w:val="Heading2"/>
      </w:pPr>
      <w:r>
        <w:rPr>
          <w:color w:val="0A2A66"/>
        </w:rPr>
        <w:t>8. Prazo de retenção</w:t>
      </w:r>
    </w:p>
    <w:p>
      <w:r>
        <w:rPr>
          <w:b w:val="0"/>
          <w:i w:val="0"/>
        </w:rPr>
        <w:t>Armazenamos seus dados pessoais pelo período necessário para cumprir as finalidades descritas nesta política:</w:t>
      </w:r>
    </w:p>
    <w:p>
      <w:pPr>
        <w:pStyle w:val="ListBullet"/>
      </w:pPr>
      <w:r>
        <w:rPr>
          <w:b/>
        </w:rPr>
        <w:t xml:space="preserve">Dentistas: </w:t>
      </w:r>
      <w:r>
        <w:t>enquanto a conta permanecer ativa. Após exclusão da conta, os dados serão anonimizados ou eliminados em até 90 dias, exceto quando houver obrigação legal de retenção.</w:t>
      </w:r>
    </w:p>
    <w:p>
      <w:pPr>
        <w:pStyle w:val="ListBullet"/>
      </w:pPr>
      <w:r>
        <w:rPr>
          <w:b/>
        </w:rPr>
        <w:t xml:space="preserve">Pacientes: </w:t>
      </w:r>
      <w:r>
        <w:t>enquanto o usuário mantiver seu vínculo com a plataforma (login social). Ao excluir a conta, sua geolocalização (latitude/longitude) é eliminada imediatamente — não há retenção da localização precisa após o “esquecimento”. Avaliações anônimas podem ser mantidas após o desligamento.</w:t>
      </w:r>
    </w:p>
    <w:p>
      <w:pPr>
        <w:pStyle w:val="ListBullet"/>
      </w:pPr>
      <w:r>
        <w:rPr>
          <w:b/>
        </w:rPr>
        <w:t xml:space="preserve">Dados de cache local: </w:t>
      </w:r>
      <w:r>
        <w:t>por até 7 dias (CEP) ou 30 minutos (localização), ou até a limpeza manual do navegador.</w:t>
      </w:r>
    </w:p>
    <w:p>
      <w:pPr>
        <w:pStyle w:val="Heading2"/>
      </w:pPr>
      <w:r>
        <w:rPr>
          <w:color w:val="0A2A66"/>
        </w:rPr>
        <w:t>9. Segurança dos dados</w:t>
      </w:r>
    </w:p>
    <w:p>
      <w:r>
        <w:rPr>
          <w:b w:val="0"/>
          <w:i w:val="0"/>
        </w:rPr>
        <w:t>Adotamos medidas técnicas e organizacionais para proteger seus dados pessoais:</w:t>
      </w:r>
    </w:p>
    <w:p>
      <w:pPr>
        <w:pStyle w:val="ListBullet"/>
      </w:pPr>
      <w:r>
        <w:t>Criptografia em trânsito via HTTPS/TLS</w:t>
      </w:r>
    </w:p>
    <w:p>
      <w:pPr>
        <w:pStyle w:val="ListBullet"/>
      </w:pPr>
      <w:r>
        <w:t>Senhas armazenadas com hash (bcrypt) pelo Supabase Auth</w:t>
      </w:r>
    </w:p>
    <w:p>
      <w:pPr>
        <w:pStyle w:val="ListBullet"/>
      </w:pPr>
      <w:r>
        <w:t>Políticas de acesso baseadas em função (RLS — Row Level Security) no banco de dados</w:t>
      </w:r>
    </w:p>
    <w:p>
      <w:pPr>
        <w:pStyle w:val="ListBullet"/>
      </w:pPr>
      <w:r>
        <w:t>Separação lógica dos dados entre diferentes usuários</w:t>
      </w:r>
    </w:p>
    <w:p>
      <w:pPr>
        <w:pStyle w:val="ListBullet"/>
      </w:pPr>
      <w:r>
        <w:t>Token de autenticação JWT com expiração</w:t>
      </w:r>
    </w:p>
    <w:p>
      <w:pPr>
        <w:pStyle w:val="ListBullet"/>
      </w:pPr>
      <w:r>
        <w:t>Práticas de desenvolvimento seguro (sanitização de inputs, proteção contra XSS e CSRF)</w:t>
      </w:r>
    </w:p>
    <w:p>
      <w:pPr>
        <w:pStyle w:val="Heading2"/>
      </w:pPr>
      <w:r>
        <w:rPr>
          <w:color w:val="0A2A66"/>
        </w:rPr>
        <w:t>10. Alterações nesta política</w:t>
      </w:r>
    </w:p>
    <w:p>
      <w:r>
        <w:rPr>
          <w:b w:val="0"/>
          <w:i w:val="0"/>
        </w:rPr>
        <w:t>Esta política pode ser atualizada periodicamente para refletir mudanças em nossas práticas ou na legislação. A data da última atualização está indicada no início do documento.</w:t>
      </w:r>
    </w:p>
    <w:p>
      <w:r>
        <w:rPr>
          <w:b w:val="0"/>
          <w:i w:val="0"/>
        </w:rPr>
        <w:t>Notificaremos os dentistas cadastrados sobre alterações significativas por e-mail. Recomendamos que todos os usuários revisem esta página regularmente.</w:t>
      </w:r>
    </w:p>
    <w:p>
      <w:pPr>
        <w:pStyle w:val="Heading2"/>
      </w:pPr>
      <w:r>
        <w:rPr>
          <w:color w:val="0A2A66"/>
        </w:rPr>
        <w:t>11. Contato</w:t>
      </w:r>
    </w:p>
    <w:p>
      <w:r>
        <w:rPr>
          <w:b w:val="0"/>
          <w:i w:val="0"/>
        </w:rPr>
        <w:t>Para exercer seus direitos, esclarecer dúvidas ou reportar preocupações sobre esta política, entre em contato conosco:</w:t>
      </w:r>
    </w:p>
    <w:p>
      <w:pPr>
        <w:pStyle w:val="ListBullet"/>
      </w:pPr>
      <w:r>
        <w:rPr>
          <w:b/>
        </w:rPr>
        <w:t xml:space="preserve">E-mail: </w:t>
      </w:r>
      <w:r>
        <w:t>privacidade@curadentes.com.br</w:t>
      </w:r>
    </w:p>
    <w:p>
      <w:pPr>
        <w:pStyle w:val="ListBullet"/>
      </w:pPr>
      <w:r>
        <w:rPr>
          <w:b/>
        </w:rPr>
        <w:t xml:space="preserve">Endereço: </w:t>
      </w:r>
      <w:r>
        <w:t>[Inserir endereço da empresa]  ← PLACEHOLDER A PREENCHER</w:t>
      </w:r>
    </w:p>
    <w:p>
      <w:r>
        <w:rPr>
          <w:b w:val="0"/>
          <w:i w:val="0"/>
        </w:rPr>
        <w:t>Responderemos em até 15 dias úteis.</w:t>
      </w:r>
    </w:p>
    <w:p>
      <w:r>
        <w:br w:type="page"/>
      </w:r>
    </w:p>
    <w:p>
      <w:pPr>
        <w:pStyle w:val="Heading1"/>
      </w:pPr>
      <w:r>
        <w:rPr>
          <w:color w:val="0A2A66"/>
        </w:rPr>
        <w:t>6. Texto ATUAL — Termos de Uso</w:t>
      </w:r>
    </w:p>
    <w:p>
      <w:r>
        <w:rPr>
          <w:b w:val="0"/>
          <w:i/>
          <w:color w:val="606060"/>
        </w:rPr>
        <w:t>Última atualização: 3 de junho de 2026</w:t>
      </w:r>
    </w:p>
    <w:p>
      <w:pPr>
        <w:pStyle w:val="Heading2"/>
      </w:pPr>
      <w:r>
        <w:rPr>
          <w:color w:val="0A2A66"/>
        </w:rPr>
        <w:t>1. Aceitação dos Termos</w:t>
      </w:r>
    </w:p>
    <w:p>
      <w:r>
        <w:rPr>
          <w:b w:val="0"/>
          <w:i w:val="0"/>
        </w:rPr>
        <w:t>Ao utilizar o CuraDentes (“plataforma”), você declara ter lido, compreendido e concordado com estes Termos de Uso. Se você não concorda com qualquer parte destes termos, não utilize a plataforma.</w:t>
      </w:r>
    </w:p>
    <w:p>
      <w:r>
        <w:rPr>
          <w:b w:val="0"/>
          <w:i w:val="0"/>
        </w:rPr>
        <w:t>Para dentistas (“CuraDentes Pro”), a aceitação formal ocorre na etapa de consentimento do cadastro. Para pacientes, o aceite ocorre no momento do login.</w:t>
      </w:r>
    </w:p>
    <w:p>
      <w:pPr>
        <w:pStyle w:val="Heading2"/>
      </w:pPr>
      <w:r>
        <w:rPr>
          <w:color w:val="0A2A66"/>
        </w:rPr>
        <w:t>2. Definições</w:t>
      </w:r>
    </w:p>
    <w:p>
      <w:pPr>
        <w:pStyle w:val="ListBullet"/>
      </w:pPr>
      <w:r>
        <w:rPr>
          <w:b/>
        </w:rPr>
        <w:t xml:space="preserve">Plataforma: </w:t>
      </w:r>
      <w:r>
        <w:t>o site CuraDentes e todos os seus serviços, acessível através do endereço curadentes.com.br</w:t>
      </w:r>
    </w:p>
    <w:p>
      <w:pPr>
        <w:pStyle w:val="ListBullet"/>
      </w:pPr>
      <w:r>
        <w:rPr>
          <w:b/>
        </w:rPr>
        <w:t xml:space="preserve">Paciente: </w:t>
      </w:r>
      <w:r>
        <w:t>usuário que busca dentistas para agendamento de consultas</w:t>
      </w:r>
    </w:p>
    <w:p>
      <w:pPr>
        <w:pStyle w:val="ListBullet"/>
      </w:pPr>
      <w:r>
        <w:rPr>
          <w:b/>
        </w:rPr>
        <w:t xml:space="preserve">Dentista / Profissional: </w:t>
      </w:r>
      <w:r>
        <w:t>profissional de odontologia cadastrado no CuraDentes Pro</w:t>
      </w:r>
    </w:p>
    <w:p>
      <w:pPr>
        <w:pStyle w:val="ListBullet"/>
      </w:pPr>
      <w:r>
        <w:rPr>
          <w:b/>
        </w:rPr>
        <w:t xml:space="preserve">CuraDentes Pro: </w:t>
      </w:r>
      <w:r>
        <w:t>plano de cadastro profissional que permite ao dentista gerenciar seu perfil e ser encontrado por pacientes</w:t>
      </w:r>
    </w:p>
    <w:p>
      <w:pPr>
        <w:pStyle w:val="ListBullet"/>
      </w:pPr>
      <w:r>
        <w:rPr>
          <w:b/>
        </w:rPr>
        <w:t xml:space="preserve">LGPD: </w:t>
      </w:r>
      <w:r>
        <w:t>Lei Geral de Proteção de Dados Pessoais (Lei nº 13.709/2018)</w:t>
      </w:r>
    </w:p>
    <w:p>
      <w:pPr>
        <w:pStyle w:val="Heading2"/>
      </w:pPr>
      <w:r>
        <w:rPr>
          <w:color w:val="0A2A66"/>
        </w:rPr>
        <w:t>3. Cadastro do paciente</w:t>
      </w:r>
    </w:p>
    <w:p>
      <w:r>
        <w:rPr>
          <w:b w:val="0"/>
          <w:i w:val="0"/>
        </w:rPr>
        <w:t>Pacientes podem acessar a plataforma por meio de login social (Google). Ao fazê-lo, autorizam o CuraDentes a coletar nome, e-mail e foto do perfil do Google para fins de identificação e funcionamento da plataforma.</w:t>
      </w:r>
    </w:p>
    <w:p>
      <w:r>
        <w:rPr>
          <w:b w:val="0"/>
          <w:i w:val="0"/>
        </w:rPr>
        <w:t>O paciente é responsável pela veracidade das informações fornecidas e pela guarda de suas credenciais de acesso.</w:t>
      </w:r>
    </w:p>
    <w:p>
      <w:pPr>
        <w:pStyle w:val="Heading2"/>
      </w:pPr>
      <w:r>
        <w:rPr>
          <w:color w:val="0A2A66"/>
        </w:rPr>
        <w:t>4. Cadastro do dentista (CuraDentes Pro)</w:t>
      </w:r>
    </w:p>
    <w:p>
      <w:r>
        <w:rPr>
          <w:b w:val="0"/>
          <w:i w:val="0"/>
        </w:rPr>
        <w:t>O cadastro de dentista é realizado em etapas e requer o preenchimento de dados pessoais e profissionais, conforme descrito na Política de Privacidade.</w:t>
      </w:r>
    </w:p>
    <w:p>
      <w:r>
        <w:rPr>
          <w:b/>
          <w:i w:val="0"/>
        </w:rPr>
        <w:t>4.1. Veracidade das informações</w:t>
      </w:r>
    </w:p>
    <w:p>
      <w:r>
        <w:rPr>
          <w:b w:val="0"/>
          <w:i w:val="0"/>
        </w:rPr>
        <w:t>O dentista declara, sob as penas da lei, que todas as informações fornecidas são verdadeiras, especialmente o CRO. A plataforma se reserva o direito de verificar a autenticidade dos dados e suspender contas que contenham informações falsas.</w:t>
      </w:r>
    </w:p>
    <w:p>
      <w:r>
        <w:rPr>
          <w:b/>
          <w:i w:val="0"/>
        </w:rPr>
        <w:t>4.2. Responsabilidade pelo perfil</w:t>
      </w:r>
    </w:p>
    <w:p>
      <w:r>
        <w:rPr>
          <w:b w:val="0"/>
          <w:i w:val="0"/>
        </w:rPr>
        <w:t>O dentista é o único responsável pelo conteúdo publicado em seu perfil, incluindo textos, horários, convênios e formas de pagamento. A plataforma não se responsabiliza por informações desatualizadas ou incorretas.</w:t>
      </w:r>
    </w:p>
    <w:p>
      <w:r>
        <w:rPr>
          <w:b/>
          <w:i w:val="0"/>
        </w:rPr>
        <w:t>4.3. Exclusividade de cadastro</w:t>
      </w:r>
    </w:p>
    <w:p>
      <w:r>
        <w:rPr>
          <w:b w:val="0"/>
          <w:i w:val="0"/>
        </w:rPr>
        <w:t>Cada dentista pode possuir apenas uma conta ativa. Cadastros duplicados poderão ser removidos sem aviso prévio.</w:t>
      </w:r>
    </w:p>
    <w:p>
      <w:pPr>
        <w:pStyle w:val="Heading2"/>
      </w:pPr>
      <w:r>
        <w:rPr>
          <w:color w:val="0A2A66"/>
        </w:rPr>
        <w:t>5. Uso da plataforma</w:t>
      </w:r>
    </w:p>
    <w:p>
      <w:r>
        <w:rPr>
          <w:b w:val="0"/>
          <w:i w:val="0"/>
        </w:rPr>
        <w:t>A plataforma CuraDentes conecta pacientes a dentistas. Não realizamos agendamentos, não intermediamos consultas e não somos responsáveis pela qualidade do serviço prestado pelos profissionais cadastrados.</w:t>
      </w:r>
    </w:p>
    <w:p>
      <w:r>
        <w:rPr>
          <w:b/>
          <w:i w:val="0"/>
        </w:rPr>
        <w:t>5.1. Papel do CuraDentes</w:t>
      </w:r>
    </w:p>
    <w:p>
      <w:r>
        <w:rPr>
          <w:b w:val="0"/>
          <w:i w:val="0"/>
        </w:rPr>
        <w:t>O CuraDentes atua exclusivamente como um diretório e motor de busca de profissionais de odontologia. Não somos uma clínica odontológica, não prestamos serviços de saúde e não realizamos diagnósticos.</w:t>
      </w:r>
    </w:p>
    <w:p>
      <w:r>
        <w:rPr>
          <w:b/>
          <w:i w:val="0"/>
        </w:rPr>
        <w:t>5.2. Avaliações</w:t>
      </w:r>
    </w:p>
    <w:p>
      <w:r>
        <w:rPr>
          <w:b w:val="0"/>
          <w:i w:val="0"/>
        </w:rPr>
        <w:t>Pacientes podem avaliar dentistas com base em suas experiências. As avaliações refletem a opinião pessoal do paciente e não representam a posição do CuraDentes. Reservamo-nos o direito de remover avaliações que violem estes termos (discurso de ódio, informações falsas, spam).</w:t>
      </w:r>
    </w:p>
    <w:p>
      <w:pPr>
        <w:pStyle w:val="Heading2"/>
      </w:pPr>
      <w:r>
        <w:rPr>
          <w:color w:val="0A2A66"/>
        </w:rPr>
        <w:t>6. Obrigações dos usuários</w:t>
      </w:r>
    </w:p>
    <w:p>
      <w:r>
        <w:rPr>
          <w:b w:val="0"/>
          <w:i w:val="0"/>
        </w:rPr>
        <w:t>Ao utilizar a plataforma, você concorda em:</w:t>
      </w:r>
    </w:p>
    <w:p>
      <w:pPr>
        <w:pStyle w:val="ListBullet"/>
      </w:pPr>
      <w:r>
        <w:t>Não fornecer informações falsas ou fraudulentas</w:t>
      </w:r>
    </w:p>
    <w:p>
      <w:pPr>
        <w:pStyle w:val="ListBullet"/>
      </w:pPr>
      <w:r>
        <w:t>Não utilizar a plataforma para fins ilegais ou não autorizados</w:t>
      </w:r>
    </w:p>
    <w:p>
      <w:pPr>
        <w:pStyle w:val="ListBullet"/>
      </w:pPr>
      <w:r>
        <w:t>Não reproduzir, distribuir ou modificar o conteúdo da plataforma sem autorização</w:t>
      </w:r>
    </w:p>
    <w:p>
      <w:pPr>
        <w:pStyle w:val="ListBullet"/>
      </w:pPr>
      <w:r>
        <w:t>Não coletar dados de outros usuários de forma automatizada (scraping)</w:t>
      </w:r>
    </w:p>
    <w:p>
      <w:pPr>
        <w:pStyle w:val="ListBullet"/>
      </w:pPr>
      <w:r>
        <w:t>Não publicar conteúdo ofensivo, difamatório, discriminatório ou que viole direitos de terceiros</w:t>
      </w:r>
    </w:p>
    <w:p>
      <w:pPr>
        <w:pStyle w:val="ListBullet"/>
      </w:pPr>
      <w:r>
        <w:t>Não tentar acessar áreas restritas da plataforma sem autorização</w:t>
      </w:r>
    </w:p>
    <w:p>
      <w:pPr>
        <w:pStyle w:val="ListBullet"/>
      </w:pPr>
      <w:r>
        <w:t>Manter seus dados de cadastro atualizados</w:t>
      </w:r>
    </w:p>
    <w:p>
      <w:pPr>
        <w:pStyle w:val="Heading2"/>
      </w:pPr>
      <w:r>
        <w:rPr>
          <w:color w:val="0A2A66"/>
        </w:rPr>
        <w:t>7. Responsabilidade</w:t>
      </w:r>
    </w:p>
    <w:p>
      <w:r>
        <w:rPr>
          <w:b/>
          <w:i w:val="0"/>
        </w:rPr>
        <w:t>7.1. Limitação de responsabilidade</w:t>
      </w:r>
    </w:p>
    <w:p>
      <w:r>
        <w:rPr>
          <w:b w:val="0"/>
          <w:i w:val="0"/>
        </w:rPr>
        <w:t>O CuraDentes não se responsabiliza por danos diretos ou indiretos decorrentes de:</w:t>
      </w:r>
    </w:p>
    <w:p>
      <w:pPr>
        <w:pStyle w:val="ListBullet"/>
      </w:pPr>
      <w:r>
        <w:t>Atendimento odontológico prestado pelos profissionais cadastrados</w:t>
      </w:r>
    </w:p>
    <w:p>
      <w:pPr>
        <w:pStyle w:val="ListBullet"/>
      </w:pPr>
      <w:r>
        <w:t>Informações desatualizadas ou incorretas nos perfis dos dentistas</w:t>
      </w:r>
    </w:p>
    <w:p>
      <w:pPr>
        <w:pStyle w:val="ListBullet"/>
      </w:pPr>
      <w:r>
        <w:t>Indisponibilidade temporária da plataforma por manutenção ou falhas técnicas</w:t>
      </w:r>
    </w:p>
    <w:p>
      <w:pPr>
        <w:pStyle w:val="ListBullet"/>
      </w:pPr>
      <w:r>
        <w:t>Perda de dados decorrente de ação do usuário (limpeza de cache, exclusão de conta)</w:t>
      </w:r>
    </w:p>
    <w:p>
      <w:pPr>
        <w:pStyle w:val="ListBullet"/>
      </w:pPr>
      <w:r>
        <w:t>Atos de terceiros (hackers, malware) desde que adotadas as medidas de segurança cabíveis</w:t>
      </w:r>
    </w:p>
    <w:p>
      <w:r>
        <w:rPr>
          <w:b/>
          <w:i w:val="0"/>
        </w:rPr>
        <w:t>7.2. Responsabilidade do dentista</w:t>
      </w:r>
    </w:p>
    <w:p>
      <w:r>
        <w:rPr>
          <w:b w:val="0"/>
          <w:i w:val="0"/>
        </w:rPr>
        <w:t>O dentista é civil e criminalmente responsável pelos serviços odontológicos que presta. O CuraDentes não exerce qualquer controle ou supervisão sobre a atividade profissional dos dentistas cadastrados.</w:t>
      </w:r>
    </w:p>
    <w:p>
      <w:r>
        <w:rPr>
          <w:b/>
          <w:i w:val="0"/>
        </w:rPr>
        <w:t>7.3. Indenização</w:t>
      </w:r>
    </w:p>
    <w:p>
      <w:r>
        <w:rPr>
          <w:b w:val="0"/>
          <w:i w:val="0"/>
        </w:rPr>
        <w:t>O usuário concorda em indenizar o CuraDentes por quaisquer perdas, danos ou custos decorrentes do uso inadequado da plataforma ou da violação destes termos.</w:t>
      </w:r>
    </w:p>
    <w:p>
      <w:pPr>
        <w:pStyle w:val="Heading2"/>
      </w:pPr>
      <w:r>
        <w:rPr>
          <w:color w:val="0A2A66"/>
        </w:rPr>
        <w:t>8. Propriedade intelectual</w:t>
      </w:r>
    </w:p>
    <w:p>
      <w:r>
        <w:rPr>
          <w:b w:val="0"/>
          <w:i w:val="0"/>
        </w:rPr>
        <w:t>Todos os direitos de propriedade intelectual sobre a plataforma CuraDentes, incluindo código-fonte, design, logotipos, marcas e conteúdo editorial, são de propriedade exclusiva do CuraDentes.</w:t>
      </w:r>
    </w:p>
    <w:p>
      <w:r>
        <w:rPr>
          <w:b w:val="0"/>
          <w:i w:val="0"/>
        </w:rPr>
        <w:t>O conteúdo cadastrado pelos dentistas (fotos, textos, horários) é de propriedade do respectivo profissional, que concede ao CuraDentes uma licença não exclusiva para exibi-lo na plataforma.</w:t>
      </w:r>
    </w:p>
    <w:p>
      <w:pPr>
        <w:pStyle w:val="Heading2"/>
      </w:pPr>
      <w:r>
        <w:rPr>
          <w:color w:val="0A2A66"/>
        </w:rPr>
        <w:t>9. Cancelamento e suspensão</w:t>
      </w:r>
    </w:p>
    <w:p>
      <w:r>
        <w:rPr>
          <w:b/>
          <w:i w:val="0"/>
        </w:rPr>
        <w:t>9.1. Pelo usuário</w:t>
      </w:r>
    </w:p>
    <w:p>
      <w:r>
        <w:rPr>
          <w:b w:val="0"/>
          <w:i w:val="0"/>
        </w:rPr>
        <w:t>O dentista pode solicitar a exclusão de sua conta a qualquer momento, entrando em contato conosco. Os dados serão anonimizados ou eliminados conforme a Política de Privacidade.</w:t>
      </w:r>
    </w:p>
    <w:p>
      <w:r>
        <w:rPr>
          <w:b/>
          <w:i w:val="0"/>
        </w:rPr>
        <w:t>9.2. Pela plataforma</w:t>
      </w:r>
    </w:p>
    <w:p>
      <w:r>
        <w:rPr>
          <w:b w:val="0"/>
          <w:i w:val="0"/>
        </w:rPr>
        <w:t>O CuraDentes se reserva o direito de suspender ou encerrar contas que violem estes Termos de Uso, sem prejuízo das demais medidas legais cabíveis.</w:t>
      </w:r>
    </w:p>
    <w:p>
      <w:pPr>
        <w:pStyle w:val="Heading2"/>
      </w:pPr>
      <w:r>
        <w:rPr>
          <w:color w:val="0A2A66"/>
        </w:rPr>
        <w:t>10. Disposições gerais</w:t>
      </w:r>
    </w:p>
    <w:p>
      <w:r>
        <w:rPr>
          <w:b/>
          <w:i w:val="0"/>
        </w:rPr>
        <w:t>10.1. Legislação aplicável</w:t>
      </w:r>
    </w:p>
    <w:p>
      <w:r>
        <w:rPr>
          <w:b w:val="0"/>
          <w:i w:val="0"/>
        </w:rPr>
        <w:t>Estes Termos de Uso são regidos pela legislação brasileira, em especial pelo Código Civil (Lei nº 10.406/2002) e pelo Marco Civil da Internet (Lei nº 12.965/2014).</w:t>
      </w:r>
    </w:p>
    <w:p>
      <w:r>
        <w:rPr>
          <w:b/>
          <w:i w:val="0"/>
        </w:rPr>
        <w:t>10.2. Foro</w:t>
      </w:r>
    </w:p>
    <w:p>
      <w:r>
        <w:rPr>
          <w:b w:val="0"/>
          <w:i w:val="0"/>
        </w:rPr>
        <w:t>Fica eleito o foro da comarca de [cidade/estado] para dirimir quaisquer controvérsias decorrentes destes Termos, com renúncia a qualquer outro foro, por mais privilegiado que seja.  ← PLACEHOLDER A PREENCHER</w:t>
      </w:r>
    </w:p>
    <w:p>
      <w:r>
        <w:rPr>
          <w:b/>
          <w:i w:val="0"/>
        </w:rPr>
        <w:t>10.3. Alterações</w:t>
      </w:r>
    </w:p>
    <w:p>
      <w:r>
        <w:rPr>
          <w:b w:val="0"/>
          <w:i w:val="0"/>
        </w:rPr>
        <w:t>Estes Termos podem ser alterados a qualquer momento. Dentistas cadastrados serão notificados por e-mail sobre alterações significativas. O uso continuado da plataforma após as alterações constitui aceitação dos novos termos.</w:t>
      </w:r>
    </w:p>
    <w:p>
      <w:r>
        <w:rPr>
          <w:b/>
          <w:i w:val="0"/>
        </w:rPr>
        <w:t>10.4. Nulidade parcial</w:t>
      </w:r>
    </w:p>
    <w:p>
      <w:r>
        <w:rPr>
          <w:b w:val="0"/>
          <w:i w:val="0"/>
        </w:rPr>
        <w:t>Se qualquer cláusula destes Termos for considerada inválida ou inexequível, as demais cláusulas permanecerão em pleno vigor.</w:t>
      </w:r>
    </w:p>
    <w:p>
      <w:pPr>
        <w:pStyle w:val="Heading2"/>
      </w:pPr>
      <w:r>
        <w:rPr>
          <w:color w:val="0A2A66"/>
        </w:rPr>
        <w:t>11. Contato</w:t>
      </w:r>
    </w:p>
    <w:p>
      <w:r>
        <w:rPr>
          <w:b w:val="0"/>
          <w:i w:val="0"/>
        </w:rPr>
        <w:t>Para dúvidas, reclamações ou notificações relacionadas a estes Termos de Uso:</w:t>
      </w:r>
    </w:p>
    <w:p>
      <w:pPr>
        <w:pStyle w:val="ListBullet"/>
      </w:pPr>
      <w:r>
        <w:rPr>
          <w:b/>
        </w:rPr>
        <w:t xml:space="preserve">E-mail: </w:t>
      </w:r>
      <w:r>
        <w:t>contato@curadentes.com.br</w:t>
      </w:r>
    </w:p>
    <w:p>
      <w:r>
        <w:br w:type="page"/>
      </w:r>
    </w:p>
    <w:p>
      <w:pPr>
        <w:pStyle w:val="Heading1"/>
      </w:pPr>
      <w:r>
        <w:rPr>
          <w:color w:val="0A2A66"/>
        </w:rPr>
        <w:t>7. Pontos específicos para revisão do advogado</w:t>
      </w:r>
    </w:p>
    <w:p>
      <w:r>
        <w:rPr>
          <w:b w:val="0"/>
          <w:i/>
          <w:color w:val="606060"/>
        </w:rPr>
        <w:t>Itens que identificamos internamente e que dependem de orientação/decisão jurídica. Os dois primeiros são placeholders que precisam ser preenchidos.</w:t>
      </w:r>
    </w:p>
    <w:p>
      <w:pPr>
        <w:pStyle w:val="Heading3"/>
      </w:pPr>
      <w:r>
        <w:t>Placeholders a preencher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Endereço da empresa — </w:t>
      </w:r>
      <w:r>
        <w:t>a Política de Privacidade (seção 11) traz “[Inserir endereço da empresa]”. Definir o endereço cadastral.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Foro — </w:t>
      </w:r>
      <w:r>
        <w:t>os Termos (cláusula 10.2) trazem “comarca de [cidade/estado]”. Definir a comarca de eleição.</w:t>
      </w:r>
    </w:p>
    <w:p>
      <w:pPr>
        <w:pStyle w:val="Heading3"/>
      </w:pPr>
      <w:r>
        <w:t>Encarregado / DPO e governança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Encarregado pelo tratamento de dados (DPO, art. 41 da LGPD) — </w:t>
      </w:r>
      <w:r>
        <w:t>não há indicação de encarregado nos textos. Avaliar a obrigatoriedade para este porte/atividade e, se cabível, incluir nome e canal de contato.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Canal de exercício de direitos — </w:t>
      </w:r>
      <w:r>
        <w:t>confirmar se privacidade@curadentes.com.br está ativo e operacionalizado.</w:t>
      </w:r>
    </w:p>
    <w:p>
      <w:pPr>
        <w:pStyle w:val="Heading3"/>
      </w:pPr>
      <w:r>
        <w:t>Retenção e exclusão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Prazo de 90 dias (dentistas) — </w:t>
      </w:r>
      <w:r>
        <w:t>a Política prevê eliminação “em até 90 dias” após a exclusão da conta. Validar a adequação do prazo e quais dados têm obrigação legal de retenção (ex.: fiscais/CRO).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Avaliações “anônimas” mantidas após o desligamento — </w:t>
      </w:r>
      <w:r>
        <w:t>o sistema guarda o identificador do paciente avaliador. Avaliar se podem ser tratadas como anônimas e a base legal para mantê-las.</w:t>
      </w:r>
    </w:p>
    <w:p>
      <w:pPr>
        <w:pStyle w:val="Heading3"/>
      </w:pPr>
      <w:r>
        <w:t>Consentimento e categorias especiais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Aceite do paciente “no momento do login” — </w:t>
      </w:r>
      <w:r>
        <w:t>avaliar se constitui consentimento válido e registrável (prova do aceite), ou se exige um aceite explícito adicional.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Menores de idade — </w:t>
      </w:r>
      <w:r>
        <w:t>a odontologia atende crianças/adolescentes; os textos não tratam de dados de menores (art. 14 da LGPD). Avaliar necessidade de cláusula e de consentimento parental.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Necessidade do CPF do dentista — </w:t>
      </w:r>
      <w:r>
        <w:t>avaliar finalidade/minimização: o CPF é necessário? Em caso afirmativo, deixar a finalidade explícita.</w:t>
      </w:r>
    </w:p>
    <w:p>
      <w:pPr>
        <w:pStyle w:val="Heading3"/>
      </w:pPr>
      <w:r>
        <w:t>Transferência internacional e terceiros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Transferência internacional de dados — </w:t>
      </w:r>
      <w:r>
        <w:t>Supabase e Google podem armazenar/processar dados fora do Brasil. Avaliar a necessidade de cláusula de transferência internacional (arts. 33–36 da LGPD) e a localização (região) do banco.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Operadores/Sub-operadores — </w:t>
      </w:r>
      <w:r>
        <w:t>confirmar contratos de tratamento (DPA) com Supabase, Google, ViaCEP e Resend (provedor de e-mail, não citado nos textos).</w:t>
      </w:r>
    </w:p>
    <w:p>
      <w:pPr>
        <w:pStyle w:val="Heading3"/>
      </w:pPr>
      <w:r>
        <w:t>Consumidor e responsabilidade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Cláusulas de limitação de responsabilidade e indenização (Termos 7) — </w:t>
      </w:r>
      <w:r>
        <w:t>revisar à luz do CDC (vedação a cláusulas abusivas em relação de consumo).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Responsabilidade por avaliações (difamação) — </w:t>
      </w:r>
      <w:r>
        <w:t>revisar Termos 5.2 frente ao Marco Civil (responsabilidade de provedor por conteúdo de terceiros).</w:t>
      </w:r>
    </w:p>
    <w:p>
      <w:pPr>
        <w:pStyle w:val="Heading3"/>
      </w:pPr>
      <w:r>
        <w:t>Inconsistências de texto a padronizar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Prazo de resposta — </w:t>
      </w:r>
      <w:r>
        <w:t>a Política diz “15 dias” (seção 7) e “15 dias úteis” (seção 11). Padronizar.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“ID anônimo” do avaliador — </w:t>
      </w:r>
      <w:r>
        <w:t>a seção 2.3 chama de “anônimo”, mas o identificador vincula a um paciente. Ajustar a redação conforme orientação.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Data de “última atualização” — </w:t>
      </w:r>
      <w:r>
        <w:t>atualizar (3 de junho de 2026) quando os textos forem revisados/aprovados.</w:t>
      </w:r>
    </w:p>
    <w:p>
      <w:r>
        <w:br w:type="page"/>
      </w:r>
    </w:p>
    <w:p>
      <w:pPr>
        <w:pStyle w:val="Heading1"/>
      </w:pPr>
      <w:r>
        <w:rPr>
          <w:color w:val="0A2A66"/>
        </w:rPr>
        <w:t>8. Identidade visual — fontes e tipografia</w:t>
      </w:r>
    </w:p>
    <w:p>
      <w:r>
        <w:rPr>
          <w:b w:val="0"/>
          <w:i w:val="0"/>
        </w:rPr>
        <w:t>A marca utiliza uma fonte própria, a “CuraDentes”, criada a partir de uma fonte de licença aberta. Esta seção descreve a origem e pede validação da conformidade de licenciamento, já que envolve licença de software de fonte e a fonte comercial Nexa.</w:t>
      </w:r>
    </w:p>
    <w:p>
      <w:pPr>
        <w:pStyle w:val="Heading3"/>
      </w:pPr>
      <w:r>
        <w:t>Fonte “CuraDentes” (da marca)</w:t>
      </w:r>
    </w:p>
    <w:p>
      <w:pPr>
        <w:pStyle w:val="ListBullet"/>
      </w:pPr>
      <w:r>
        <w:rPr>
          <w:b/>
        </w:rPr>
        <w:t xml:space="preserve">Origem: </w:t>
      </w:r>
      <w:r>
        <w:t>derivada da fonte Montserrat, licenciada sob a SIL Open Font License 1.1 (OFL) — licença que permite expressamente usar, modificar, renomear e redistribuir, inclusive para fins comerciais.</w:t>
      </w:r>
    </w:p>
    <w:p>
      <w:pPr>
        <w:pStyle w:val="ListBullet"/>
      </w:pPr>
      <w:r>
        <w:rPr>
          <w:b/>
        </w:rPr>
        <w:t xml:space="preserve">Estilo: </w:t>
      </w:r>
      <w:r>
        <w:t>letras geométricas (mesmo “espírito” visual da fonte Nexa), com os numerais da Montserrat.</w:t>
      </w:r>
    </w:p>
    <w:p>
      <w:pPr>
        <w:pStyle w:val="ListBullet"/>
      </w:pPr>
      <w:r>
        <w:rPr>
          <w:b/>
        </w:rPr>
        <w:t xml:space="preserve">Conformidade aplicada: </w:t>
      </w:r>
      <w:r>
        <w:t>mantido o aviso de copyright original da Montserrat; removido o nome reservado “Montserrat” dos campos de nome do arquivo; a licença OFL acompanha os arquivos da fonte (arquivo OFL-CuraDentes.txt).</w:t>
      </w:r>
    </w:p>
    <w:p>
      <w:pPr>
        <w:pStyle w:val="ListBullet"/>
      </w:pPr>
      <w:r>
        <w:rPr>
          <w:b/>
        </w:rPr>
        <w:t xml:space="preserve">Nexa NÃO usada em produção: </w:t>
      </w:r>
      <w:r>
        <w:t>a fonte comercial Nexa (Fontfabric, versão trial) foi utilizada apenas para comparação visual interna; nenhum arquivo da Nexa integra o material de produção (e-mail/site).</w:t>
      </w:r>
    </w:p>
    <w:p>
      <w:pPr>
        <w:pStyle w:val="Heading3"/>
      </w:pPr>
      <w:r>
        <w:t>Pontos para revisão (fontes / identidade)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Conformidade com a SIL OFL 1.1 — </w:t>
      </w:r>
      <w:r>
        <w:t>validar a renomeação e a redistribuição da fonte derivada (retenção do aviso de copyright, não uso do nome reservado “Montserrat”, distribuição da licença OFL junto dos arquivos).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Não infração da Nexa — </w:t>
      </w:r>
      <w:r>
        <w:t>confirmar que, por não usarmos arquivos da Nexa e por o desenho de tipos (a aparência das letras) em regra não ser protegido por direito autoral no Brasil, não há violação à Fontfabric. Garantir que a versão trial da Nexa não seja distribuída nem usada em produção.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Titularidade dos logotipos — </w:t>
      </w:r>
      <w:r>
        <w:t>verificar a propriedade/cessão de direitos dos logotipos (arquivos PNG da marca): quem os criou e se há instrumento de cessão por escrito.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Registro de marca — </w:t>
      </w:r>
      <w:r>
        <w:t>avaliar o registro das marcas “CuraDentes” e “CuraDentes Pro” (nominativa e/ou figurativa, incluindo o nome da fonte) junto ao INPI.</w:t>
      </w:r>
    </w:p>
    <w:p>
      <w:r>
        <w:br w:type="page"/>
      </w:r>
    </w:p>
    <w:p>
      <w:pPr>
        <w:pStyle w:val="Heading1"/>
      </w:pPr>
      <w:r>
        <w:rPr>
          <w:color w:val="0A2A66"/>
        </w:rPr>
        <w:t>Anexo A — Amostras visuais (Nexa × CuraDentes)</w:t>
      </w:r>
    </w:p>
    <w:p>
      <w:r>
        <w:rPr>
          <w:b w:val="0"/>
          <w:i w:val="0"/>
        </w:rPr>
        <w:t>Comparação visual entre a fonte comercial Nexa (exibida apenas para avaliação) e a fonte própria CuraDentes (derivada da Montserrat, SIL OFL 1.1) usada em produção.</w:t>
      </w:r>
    </w:p>
    <w:p>
      <w:r>
        <w:rPr>
          <w:b/>
          <w:i w:val="0"/>
        </w:rPr>
        <w:t>A.1. Impacto na logo — wordmark “CuraDentes Pro” (Cura Bold + Dentes Light)</w:t>
      </w:r>
    </w:p>
    <w:p>
      <w:r>
        <w:drawing>
          <wp:inline xmlns:a="http://schemas.openxmlformats.org/drawingml/2006/main" xmlns:pic="http://schemas.openxmlformats.org/drawingml/2006/picture">
            <wp:extent cx="5760720" cy="1944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4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A.2. Numerais (CuraDentes usa os da Montserrat)</w:t>
      </w:r>
    </w:p>
    <w:p>
      <w:r>
        <w:drawing>
          <wp:inline xmlns:a="http://schemas.openxmlformats.org/drawingml/2006/main" xmlns:pic="http://schemas.openxmlformats.org/drawingml/2006/picture">
            <wp:extent cx="5760720" cy="15481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8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606060"/>
          <w:sz w:val="20"/>
        </w:rPr>
        <w:t>Versão interativa completa (alfabeto, pesos, sobreposição e texto corrido) no arquivo “comparativo-fontes.html”.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  <w:color w:val="606060"/>
        </w:rPr>
        <w:t>――――――――――――――――――――――――――――――――――――――――</w:t>
      </w:r>
    </w:p>
    <w:p>
      <w:r>
        <w:rPr>
          <w:b w:val="0"/>
          <w:i/>
          <w:color w:val="606060"/>
          <w:sz w:val="18"/>
        </w:rPr>
        <w:t>Documento preparado para fins de revisão jurídica. Os textos das seções 5 e 6 reproduzem fielmente o conteúdo publicado em curadentes.com.br/privacidade e curadentes.com.br/termos.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