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ocumento-maestro-funcional"/>
    <w:p>
      <w:pPr>
        <w:pStyle w:val="Heading1"/>
      </w:pPr>
      <w:r>
        <w:t xml:space="preserve">DOCUMENTO MAESTRO FUNCIONAL</w:t>
      </w:r>
    </w:p>
    <w:bookmarkEnd w:id="20"/>
    <w:bookmarkStart w:id="156" w:name="X81cec2a13787b848e1f80350a84a21f171cee32"/>
    <w:p>
      <w:pPr>
        <w:pStyle w:val="Heading1"/>
      </w:pPr>
      <w:r>
        <w:t xml:space="preserve">App de Corrección de Trastornos Hidroelectrolíticos</w:t>
      </w:r>
    </w:p>
    <w:bookmarkStart w:id="21" w:name="nombre-preliminar-del-proyecto"/>
    <w:p>
      <w:pPr>
        <w:pStyle w:val="Heading2"/>
      </w:pPr>
      <w:r>
        <w:t xml:space="preserve">1. Nombre preliminar del proyecto</w:t>
      </w:r>
    </w:p>
    <w:p>
      <w:pPr>
        <w:pStyle w:val="FirstParagraph"/>
      </w:pPr>
      <w:r>
        <w:t xml:space="preserve">Nombre funcional inicial:</w:t>
      </w:r>
      <w:r>
        <w:t xml:space="preserve"> </w:t>
      </w:r>
      <w:r>
        <w:rPr>
          <w:b/>
          <w:bCs/>
        </w:rPr>
        <w:t xml:space="preserve">HidroBalance MD</w:t>
      </w:r>
      <w:r>
        <w:t xml:space="preserve">.</w:t>
      </w:r>
    </w:p>
    <w:p>
      <w:pPr>
        <w:pStyle w:val="BodyText"/>
      </w:pPr>
      <w:r>
        <w:t xml:space="preserve">Nombres alternativos posibles:</w:t>
      </w:r>
      <w:r>
        <w:t xml:space="preserve"> </w:t>
      </w:r>
      <w:r>
        <w:rPr>
          <w:b/>
          <w:bCs/>
        </w:rPr>
        <w:t xml:space="preserve">ElectroMed</w:t>
      </w:r>
      <w:r>
        <w:t xml:space="preserve">,</w:t>
      </w:r>
      <w:r>
        <w:t xml:space="preserve"> </w:t>
      </w:r>
      <w:r>
        <w:rPr>
          <w:b/>
          <w:bCs/>
        </w:rPr>
        <w:t xml:space="preserve">IonoMed</w:t>
      </w:r>
      <w:r>
        <w:t xml:space="preserve">,</w:t>
      </w:r>
      <w:r>
        <w:t xml:space="preserve"> </w:t>
      </w:r>
      <w:r>
        <w:rPr>
          <w:b/>
          <w:bCs/>
        </w:rPr>
        <w:t xml:space="preserve">HidroSafe MD</w:t>
      </w:r>
      <w:r>
        <w:t xml:space="preserve">,</w:t>
      </w:r>
      <w:r>
        <w:t xml:space="preserve"> </w:t>
      </w:r>
      <w:r>
        <w:rPr>
          <w:b/>
          <w:bCs/>
        </w:rPr>
        <w:t xml:space="preserve">ElectrolyteCare Pro</w:t>
      </w:r>
      <w:r>
        <w:t xml:space="preserve">,</w:t>
      </w:r>
      <w:r>
        <w:t xml:space="preserve"> </w:t>
      </w:r>
      <w:r>
        <w:rPr>
          <w:b/>
          <w:bCs/>
        </w:rPr>
        <w:t xml:space="preserve">Corrección HDE</w:t>
      </w:r>
      <w:r>
        <w:t xml:space="preserve">.</w:t>
      </w:r>
    </w:p>
    <w:p>
      <w:pPr>
        <w:pStyle w:val="BodyText"/>
      </w:pPr>
      <w:r>
        <w:t xml:space="preserve">El nombre definitivo podrá definirse más adelante. Para el desarrollo inicial se usará el nombre interno</w:t>
      </w:r>
      <w:r>
        <w:t xml:space="preserve"> </w:t>
      </w:r>
      <w:r>
        <w:rPr>
          <w:b/>
          <w:bCs/>
        </w:rPr>
        <w:t xml:space="preserve">HidroBalance MD</w:t>
      </w:r>
      <w:r>
        <w:t xml:space="preserve">, entendiendo que la app será una herramienta clínica de apoyo para médicos en el abordaje, clasificación, corrección y seguimiento de trastornos hidroelectrolíticos.</w:t>
      </w:r>
    </w:p>
    <w:bookmarkEnd w:id="21"/>
    <w:bookmarkStart w:id="22" w:name="propósito-general"/>
    <w:p>
      <w:pPr>
        <w:pStyle w:val="Heading2"/>
      </w:pPr>
      <w:r>
        <w:t xml:space="preserve">2. Propósito general</w:t>
      </w:r>
    </w:p>
    <w:p>
      <w:pPr>
        <w:pStyle w:val="FirstParagraph"/>
      </w:pPr>
      <w:r>
        <w:t xml:space="preserve">HidroBalance MD será una aplicación médica orientada a apoyar al médico en la toma de decisiones frente a trastornos del sodio, potasio, magnesio, fósforo y calcio. La app permitirá ingresar características clínicas del paciente, comorbilidades, peso, edad, sexo, creatinina, diuresis, estado clínico y laboratorios actuales para calcular automáticamente función renal, clasificar la alteración electrolítica, identificar riesgos clínicos, proponer una reposición específica y generar una orden médica sugerida, editable y copiable.</w:t>
      </w:r>
    </w:p>
    <w:p>
      <w:pPr>
        <w:pStyle w:val="BodyText"/>
      </w:pPr>
      <w:r>
        <w:t xml:space="preserve">La app no debe limitarse a ser una calculadora. Debe funcionar como un asistente clínico estructurado, capaz de convertir datos clínicos en una recomendación médica operacional, con dosis, dilución, solución, volumen, velocidad de infusión, duración, controles de laboratorio y criterios de ajuste.</w:t>
      </w:r>
    </w:p>
    <w:p>
      <w:pPr>
        <w:pStyle w:val="BodyText"/>
      </w:pPr>
      <w:r>
        <w:t xml:space="preserve">La aplicación debe permitir seguimiento diario del paciente. Cada vez que el médico ingrese laboratorios de control, la app debe recalcular el estado del paciente, evaluar la velocidad de corrección, detectar riesgos de sobrecorrección o complicaciones, y ajustar la sugerencia médica de acuerdo con la evolución.</w:t>
      </w:r>
    </w:p>
    <w:bookmarkEnd w:id="22"/>
    <w:bookmarkStart w:id="23" w:name="principio-clínico-central"/>
    <w:p>
      <w:pPr>
        <w:pStyle w:val="Heading2"/>
      </w:pPr>
      <w:r>
        <w:t xml:space="preserve">3. Principio clínico central</w:t>
      </w:r>
    </w:p>
    <w:p>
      <w:pPr>
        <w:pStyle w:val="FirstParagraph"/>
      </w:pPr>
      <w:r>
        <w:t xml:space="preserve">La app debe responder siempre cuatro preguntas:</w:t>
      </w:r>
    </w:p>
    <w:p>
      <w:pPr>
        <w:pStyle w:val="Compact"/>
        <w:numPr>
          <w:ilvl w:val="0"/>
          <w:numId w:val="1001"/>
        </w:numPr>
      </w:pPr>
      <w:r>
        <w:t xml:space="preserve">¿Qué trastorno hidroelectrolítico tiene el paciente?</w:t>
      </w:r>
    </w:p>
    <w:p>
      <w:pPr>
        <w:pStyle w:val="Compact"/>
        <w:numPr>
          <w:ilvl w:val="0"/>
          <w:numId w:val="1001"/>
        </w:numPr>
      </w:pPr>
      <w:r>
        <w:t xml:space="preserve">¿Qué tan grave es y qué riesgo clínico representa?</w:t>
      </w:r>
    </w:p>
    <w:p>
      <w:pPr>
        <w:pStyle w:val="Compact"/>
        <w:numPr>
          <w:ilvl w:val="0"/>
          <w:numId w:val="1001"/>
        </w:numPr>
      </w:pPr>
      <w:r>
        <w:t xml:space="preserve">¿Qué orden médica específica se sugiere para corregirlo de forma segura?</w:t>
      </w:r>
    </w:p>
    <w:p>
      <w:pPr>
        <w:pStyle w:val="Compact"/>
        <w:numPr>
          <w:ilvl w:val="0"/>
          <w:numId w:val="1001"/>
        </w:numPr>
      </w:pPr>
      <w:r>
        <w:t xml:space="preserve">¿Cuándo debe controlarse nuevamente y cómo debe ajustarse el plan?</w:t>
      </w:r>
    </w:p>
    <w:p>
      <w:pPr>
        <w:pStyle w:val="FirstParagraph"/>
      </w:pPr>
      <w:r>
        <w:t xml:space="preserve">La app debe evitar respuestas vagas. No debe decir únicamente</w:t>
      </w:r>
      <w:r>
        <w:t xml:space="preserve"> </w:t>
      </w:r>
      <w:r>
        <w:t xml:space="preserve">“hidratar”</w:t>
      </w:r>
      <w:r>
        <w:t xml:space="preserve">,</w:t>
      </w:r>
      <w:r>
        <w:t xml:space="preserve"> </w:t>
      </w:r>
      <w:r>
        <w:t xml:space="preserve">“reponer potasio”</w:t>
      </w:r>
      <w:r>
        <w:t xml:space="preserve"> </w:t>
      </w:r>
      <w:r>
        <w:t xml:space="preserve">o</w:t>
      </w:r>
      <w:r>
        <w:t xml:space="preserve"> </w:t>
      </w:r>
      <w:r>
        <w:t xml:space="preserve">“corregir magnesio”</w:t>
      </w:r>
      <w:r>
        <w:t xml:space="preserve">. Debe generar una indicación concreta, por ejemplo:</w:t>
      </w:r>
    </w:p>
    <w:p>
      <w:pPr>
        <w:pStyle w:val="BodyText"/>
      </w:pPr>
      <w:r>
        <w:rPr>
          <w:b/>
          <w:bCs/>
        </w:rPr>
        <w:t xml:space="preserve">Solución salina 0.9% a 150 cc/hora por bomba de infusión durante 6 horas, reevaluar volemia, diuresis, creatinina y electrolitos de control.</w:t>
      </w:r>
    </w:p>
    <w:p>
      <w:pPr>
        <w:pStyle w:val="BodyText"/>
      </w:pPr>
      <w:r>
        <w:t xml:space="preserve">O:</w:t>
      </w:r>
    </w:p>
    <w:p>
      <w:pPr>
        <w:pStyle w:val="BodyText"/>
      </w:pPr>
      <w:r>
        <w:rPr>
          <w:b/>
          <w:bCs/>
        </w:rPr>
        <w:t xml:space="preserve">Cloruro de potasio 20 mEq IV diluidos en 100 cc de solución salina 0.9%, pasar por bomba de infusión a 10 mEq/hora, con control de potasio y magnesio en 4 a 6 horas.</w:t>
      </w:r>
    </w:p>
    <w:p>
      <w:pPr>
        <w:pStyle w:val="BodyText"/>
      </w:pPr>
      <w:r>
        <w:t xml:space="preserve">La app debe mantener el término</w:t>
      </w:r>
      <w:r>
        <w:t xml:space="preserve"> </w:t>
      </w:r>
      <w:r>
        <w:rPr>
          <w:b/>
          <w:bCs/>
        </w:rPr>
        <w:t xml:space="preserve">orden médica sugerida</w:t>
      </w:r>
      <w:r>
        <w:t xml:space="preserve"> </w:t>
      </w:r>
      <w:r>
        <w:t xml:space="preserve">por seguridad médico legal, pero la indicación debe ser específica, operacional y útil para el trabajo clínico real.</w:t>
      </w:r>
    </w:p>
    <w:bookmarkEnd w:id="23"/>
    <w:bookmarkStart w:id="24" w:name="alcance-de-la-aplicación"/>
    <w:p>
      <w:pPr>
        <w:pStyle w:val="Heading2"/>
      </w:pPr>
      <w:r>
        <w:t xml:space="preserve">4. Alcance de la aplicación</w:t>
      </w:r>
    </w:p>
    <w:p>
      <w:pPr>
        <w:pStyle w:val="FirstParagraph"/>
      </w:pPr>
      <w:r>
        <w:t xml:space="preserve">La primera versión de HidroBalance MD debe cubrir pacientes adultos hospitalizados, en urgencias, hospitalización general o unidad de cuidado intensivo. Debe estar orientada a médicos, no a pacientes ni a público general.</w:t>
      </w:r>
    </w:p>
    <w:p>
      <w:pPr>
        <w:pStyle w:val="BodyText"/>
      </w:pPr>
      <w:r>
        <w:t xml:space="preserve">La aplicación debe manejar inicialmente:</w:t>
      </w:r>
    </w:p>
    <w:p>
      <w:pPr>
        <w:pStyle w:val="Compact"/>
        <w:numPr>
          <w:ilvl w:val="0"/>
          <w:numId w:val="1002"/>
        </w:numPr>
      </w:pPr>
      <w:r>
        <w:t xml:space="preserve">Hiponatremia.</w:t>
      </w:r>
    </w:p>
    <w:p>
      <w:pPr>
        <w:pStyle w:val="Compact"/>
        <w:numPr>
          <w:ilvl w:val="0"/>
          <w:numId w:val="1002"/>
        </w:numPr>
      </w:pPr>
      <w:r>
        <w:t xml:space="preserve">Hipernatremia.</w:t>
      </w:r>
    </w:p>
    <w:p>
      <w:pPr>
        <w:pStyle w:val="Compact"/>
        <w:numPr>
          <w:ilvl w:val="0"/>
          <w:numId w:val="1002"/>
        </w:numPr>
      </w:pPr>
      <w:r>
        <w:t xml:space="preserve">Hipokalemia.</w:t>
      </w:r>
    </w:p>
    <w:p>
      <w:pPr>
        <w:pStyle w:val="Compact"/>
        <w:numPr>
          <w:ilvl w:val="0"/>
          <w:numId w:val="1002"/>
        </w:numPr>
      </w:pPr>
      <w:r>
        <w:t xml:space="preserve">Hiperkalemia.</w:t>
      </w:r>
    </w:p>
    <w:p>
      <w:pPr>
        <w:pStyle w:val="Compact"/>
        <w:numPr>
          <w:ilvl w:val="0"/>
          <w:numId w:val="1002"/>
        </w:numPr>
      </w:pPr>
      <w:r>
        <w:t xml:space="preserve">Hipomagnesemia.</w:t>
      </w:r>
    </w:p>
    <w:p>
      <w:pPr>
        <w:pStyle w:val="Compact"/>
        <w:numPr>
          <w:ilvl w:val="0"/>
          <w:numId w:val="1002"/>
        </w:numPr>
      </w:pPr>
      <w:r>
        <w:t xml:space="preserve">Hipermagnesemia.</w:t>
      </w:r>
    </w:p>
    <w:p>
      <w:pPr>
        <w:pStyle w:val="Compact"/>
        <w:numPr>
          <w:ilvl w:val="0"/>
          <w:numId w:val="1002"/>
        </w:numPr>
      </w:pPr>
      <w:r>
        <w:t xml:space="preserve">Hipofosfatemia.</w:t>
      </w:r>
    </w:p>
    <w:p>
      <w:pPr>
        <w:pStyle w:val="Compact"/>
        <w:numPr>
          <w:ilvl w:val="0"/>
          <w:numId w:val="1002"/>
        </w:numPr>
      </w:pPr>
      <w:r>
        <w:t xml:space="preserve">Hiperfosfatemia.</w:t>
      </w:r>
    </w:p>
    <w:p>
      <w:pPr>
        <w:pStyle w:val="Compact"/>
        <w:numPr>
          <w:ilvl w:val="0"/>
          <w:numId w:val="1002"/>
        </w:numPr>
      </w:pPr>
      <w:r>
        <w:t xml:space="preserve">Hipocalcemia.</w:t>
      </w:r>
    </w:p>
    <w:p>
      <w:pPr>
        <w:pStyle w:val="Compact"/>
        <w:numPr>
          <w:ilvl w:val="0"/>
          <w:numId w:val="1002"/>
        </w:numPr>
      </w:pPr>
      <w:r>
        <w:t xml:space="preserve">Hipercalcemia.</w:t>
      </w:r>
    </w:p>
    <w:p>
      <w:pPr>
        <w:pStyle w:val="Compact"/>
        <w:numPr>
          <w:ilvl w:val="0"/>
          <w:numId w:val="1002"/>
        </w:numPr>
      </w:pPr>
      <w:r>
        <w:t xml:space="preserve">Hipercalcemia maligna como módulo especial.</w:t>
      </w:r>
    </w:p>
    <w:p>
      <w:pPr>
        <w:pStyle w:val="FirstParagraph"/>
      </w:pPr>
      <w:r>
        <w:t xml:space="preserve">En futuras versiones podrá ampliarse a trastornos ácido base, síndrome de realimentación, cetoacidosis diabética, nefrología crítica, cálculo de agua libre, balance hídrico avanzado y generación de notas clínicas.</w:t>
      </w:r>
    </w:p>
    <w:bookmarkEnd w:id="24"/>
    <w:bookmarkStart w:id="27" w:name="usuarios-objetivo"/>
    <w:p>
      <w:pPr>
        <w:pStyle w:val="Heading2"/>
      </w:pPr>
      <w:r>
        <w:t xml:space="preserve">5. Usuarios objetivo</w:t>
      </w:r>
    </w:p>
    <w:bookmarkStart w:id="25" w:name="médicos-usuarios-principales"/>
    <w:p>
      <w:pPr>
        <w:pStyle w:val="Heading3"/>
      </w:pPr>
      <w:r>
        <w:t xml:space="preserve">5.1 Médicos usuarios principales</w:t>
      </w:r>
    </w:p>
    <w:p>
      <w:pPr>
        <w:pStyle w:val="FirstParagraph"/>
      </w:pPr>
      <w:r>
        <w:t xml:space="preserve">La aplicación está dirigida a médicos que manejan pacientes hospitalizados o críticos:</w:t>
      </w:r>
    </w:p>
    <w:p>
      <w:pPr>
        <w:pStyle w:val="Compact"/>
        <w:numPr>
          <w:ilvl w:val="0"/>
          <w:numId w:val="1003"/>
        </w:numPr>
      </w:pPr>
      <w:r>
        <w:t xml:space="preserve">Especialistas en medicina interna.</w:t>
      </w:r>
    </w:p>
    <w:p>
      <w:pPr>
        <w:pStyle w:val="Compact"/>
        <w:numPr>
          <w:ilvl w:val="0"/>
          <w:numId w:val="1003"/>
        </w:numPr>
      </w:pPr>
      <w:r>
        <w:t xml:space="preserve">Intensivistas.</w:t>
      </w:r>
    </w:p>
    <w:p>
      <w:pPr>
        <w:pStyle w:val="Compact"/>
        <w:numPr>
          <w:ilvl w:val="0"/>
          <w:numId w:val="1003"/>
        </w:numPr>
      </w:pPr>
      <w:r>
        <w:t xml:space="preserve">Urgenciólogos.</w:t>
      </w:r>
    </w:p>
    <w:p>
      <w:pPr>
        <w:pStyle w:val="Compact"/>
        <w:numPr>
          <w:ilvl w:val="0"/>
          <w:numId w:val="1003"/>
        </w:numPr>
      </w:pPr>
      <w:r>
        <w:t xml:space="preserve">Nefrólogos.</w:t>
      </w:r>
    </w:p>
    <w:p>
      <w:pPr>
        <w:pStyle w:val="Compact"/>
        <w:numPr>
          <w:ilvl w:val="0"/>
          <w:numId w:val="1003"/>
        </w:numPr>
      </w:pPr>
      <w:r>
        <w:t xml:space="preserve">Hospitalistas.</w:t>
      </w:r>
    </w:p>
    <w:p>
      <w:pPr>
        <w:pStyle w:val="Compact"/>
        <w:numPr>
          <w:ilvl w:val="0"/>
          <w:numId w:val="1003"/>
        </w:numPr>
      </w:pPr>
      <w:r>
        <w:t xml:space="preserve">Residentes.</w:t>
      </w:r>
    </w:p>
    <w:p>
      <w:pPr>
        <w:pStyle w:val="Compact"/>
        <w:numPr>
          <w:ilvl w:val="0"/>
          <w:numId w:val="1003"/>
        </w:numPr>
      </w:pPr>
      <w:r>
        <w:t xml:space="preserve">Médicos generales hospitalarios.</w:t>
      </w:r>
    </w:p>
    <w:p>
      <w:pPr>
        <w:pStyle w:val="Compact"/>
        <w:numPr>
          <w:ilvl w:val="0"/>
          <w:numId w:val="1003"/>
        </w:numPr>
      </w:pPr>
      <w:r>
        <w:t xml:space="preserve">Médicos de servicios de oncología, hematooncología, cirugía y cuidado paliativo que requieran soporte en trastornos electrolíticos.</w:t>
      </w:r>
    </w:p>
    <w:bookmarkEnd w:id="25"/>
    <w:bookmarkStart w:id="26" w:name="usuarios-no-objetivo"/>
    <w:p>
      <w:pPr>
        <w:pStyle w:val="Heading3"/>
      </w:pPr>
      <w:r>
        <w:t xml:space="preserve">5.2 Usuarios no objetivo</w:t>
      </w:r>
    </w:p>
    <w:p>
      <w:pPr>
        <w:pStyle w:val="FirstParagraph"/>
      </w:pPr>
      <w:r>
        <w:t xml:space="preserve">La app no debe estar diseñada para automanejo por pacientes. La interfaz, advertencias, lenguaje y términos deben dejar claro que se trata de una herramienta para personal médico.</w:t>
      </w:r>
    </w:p>
    <w:bookmarkEnd w:id="26"/>
    <w:bookmarkEnd w:id="27"/>
    <w:bookmarkStart w:id="28" w:name="modelo-comercial-e-institucional"/>
    <w:p>
      <w:pPr>
        <w:pStyle w:val="Heading2"/>
      </w:pPr>
      <w:r>
        <w:t xml:space="preserve">6. Modelo comercial e institucional</w:t>
      </w:r>
    </w:p>
    <w:p>
      <w:pPr>
        <w:pStyle w:val="FirstParagraph"/>
      </w:pPr>
      <w:r>
        <w:t xml:space="preserve">La app debe pensarse desde el inicio como una herramienta comercial multiinstitución.</w:t>
      </w:r>
    </w:p>
    <w:p>
      <w:pPr>
        <w:pStyle w:val="BodyText"/>
      </w:pPr>
      <w:r>
        <w:t xml:space="preserve">Cada institución debe tener:</w:t>
      </w:r>
    </w:p>
    <w:p>
      <w:pPr>
        <w:pStyle w:val="Compact"/>
        <w:numPr>
          <w:ilvl w:val="0"/>
          <w:numId w:val="1004"/>
        </w:numPr>
      </w:pPr>
      <w:r>
        <w:t xml:space="preserve">Identificación institucional propia.</w:t>
      </w:r>
    </w:p>
    <w:p>
      <w:pPr>
        <w:pStyle w:val="Compact"/>
        <w:numPr>
          <w:ilvl w:val="0"/>
          <w:numId w:val="1004"/>
        </w:numPr>
      </w:pPr>
      <w:r>
        <w:t xml:space="preserve">Usuarios propios.</w:t>
      </w:r>
    </w:p>
    <w:p>
      <w:pPr>
        <w:pStyle w:val="Compact"/>
        <w:numPr>
          <w:ilvl w:val="0"/>
          <w:numId w:val="1004"/>
        </w:numPr>
      </w:pPr>
      <w:r>
        <w:t xml:space="preserve">Base de datos independiente o aislamiento lógico estricto.</w:t>
      </w:r>
    </w:p>
    <w:p>
      <w:pPr>
        <w:pStyle w:val="Compact"/>
        <w:numPr>
          <w:ilvl w:val="0"/>
          <w:numId w:val="1004"/>
        </w:numPr>
      </w:pPr>
      <w:r>
        <w:t xml:space="preserve">Configuración propia de rangos de laboratorio.</w:t>
      </w:r>
    </w:p>
    <w:p>
      <w:pPr>
        <w:pStyle w:val="Compact"/>
        <w:numPr>
          <w:ilvl w:val="0"/>
          <w:numId w:val="1004"/>
        </w:numPr>
      </w:pPr>
      <w:r>
        <w:t xml:space="preserve">Configuración propia de protocolos institucionales.</w:t>
      </w:r>
    </w:p>
    <w:p>
      <w:pPr>
        <w:pStyle w:val="Compact"/>
        <w:numPr>
          <w:ilvl w:val="0"/>
          <w:numId w:val="1004"/>
        </w:numPr>
      </w:pPr>
      <w:r>
        <w:t xml:space="preserve">Configuración propia de medicamentos disponibles.</w:t>
      </w:r>
    </w:p>
    <w:p>
      <w:pPr>
        <w:pStyle w:val="Compact"/>
        <w:numPr>
          <w:ilvl w:val="0"/>
          <w:numId w:val="1004"/>
        </w:numPr>
      </w:pPr>
      <w:r>
        <w:t xml:space="preserve">Auditoría de acciones.</w:t>
      </w:r>
    </w:p>
    <w:p>
      <w:pPr>
        <w:pStyle w:val="Compact"/>
        <w:numPr>
          <w:ilvl w:val="0"/>
          <w:numId w:val="1004"/>
        </w:numPr>
      </w:pPr>
      <w:r>
        <w:t xml:space="preserve">Reportes de uso.</w:t>
      </w:r>
    </w:p>
    <w:p>
      <w:pPr>
        <w:pStyle w:val="Compact"/>
        <w:numPr>
          <w:ilvl w:val="0"/>
          <w:numId w:val="1004"/>
        </w:numPr>
      </w:pPr>
      <w:r>
        <w:t xml:space="preserve">Administración de usuarios.</w:t>
      </w:r>
    </w:p>
    <w:p>
      <w:pPr>
        <w:pStyle w:val="Compact"/>
        <w:numPr>
          <w:ilvl w:val="0"/>
          <w:numId w:val="1004"/>
        </w:numPr>
      </w:pPr>
      <w:r>
        <w:t xml:space="preserve">Personalización de logos, nombre institucional y parámetros locales.</w:t>
      </w:r>
    </w:p>
    <w:p>
      <w:pPr>
        <w:pStyle w:val="FirstParagraph"/>
      </w:pPr>
      <w:r>
        <w:t xml:space="preserve">La app debe permitir que una institución compre o active una versión limpia, sin pacientes ni datos precargados, y construya su base de usuarios y protocolos desde cero.</w:t>
      </w:r>
    </w:p>
    <w:bookmarkEnd w:id="28"/>
    <w:bookmarkStart w:id="33" w:name="roles-de-usuario"/>
    <w:p>
      <w:pPr>
        <w:pStyle w:val="Heading2"/>
      </w:pPr>
      <w:r>
        <w:t xml:space="preserve">7. Roles de usuario</w:t>
      </w:r>
    </w:p>
    <w:bookmarkStart w:id="29" w:name="administrador-institucional"/>
    <w:p>
      <w:pPr>
        <w:pStyle w:val="Heading3"/>
      </w:pPr>
      <w:r>
        <w:t xml:space="preserve">7.1 Administrador institucional</w:t>
      </w:r>
    </w:p>
    <w:p>
      <w:pPr>
        <w:pStyle w:val="FirstParagraph"/>
      </w:pPr>
      <w:r>
        <w:t xml:space="preserve">El administrador institucional puede:</w:t>
      </w:r>
    </w:p>
    <w:p>
      <w:pPr>
        <w:pStyle w:val="Compact"/>
        <w:numPr>
          <w:ilvl w:val="0"/>
          <w:numId w:val="1005"/>
        </w:numPr>
      </w:pPr>
      <w:r>
        <w:t xml:space="preserve">Crear y editar la institución.</w:t>
      </w:r>
    </w:p>
    <w:p>
      <w:pPr>
        <w:pStyle w:val="Compact"/>
        <w:numPr>
          <w:ilvl w:val="0"/>
          <w:numId w:val="1005"/>
        </w:numPr>
      </w:pPr>
      <w:r>
        <w:t xml:space="preserve">Aprobar usuarios.</w:t>
      </w:r>
    </w:p>
    <w:p>
      <w:pPr>
        <w:pStyle w:val="Compact"/>
        <w:numPr>
          <w:ilvl w:val="0"/>
          <w:numId w:val="1005"/>
        </w:numPr>
      </w:pPr>
      <w:r>
        <w:t xml:space="preserve">Asignar roles.</w:t>
      </w:r>
    </w:p>
    <w:p>
      <w:pPr>
        <w:pStyle w:val="Compact"/>
        <w:numPr>
          <w:ilvl w:val="0"/>
          <w:numId w:val="1005"/>
        </w:numPr>
      </w:pPr>
      <w:r>
        <w:t xml:space="preserve">Activar o desactivar usuarios.</w:t>
      </w:r>
    </w:p>
    <w:p>
      <w:pPr>
        <w:pStyle w:val="Compact"/>
        <w:numPr>
          <w:ilvl w:val="0"/>
          <w:numId w:val="1005"/>
        </w:numPr>
      </w:pPr>
      <w:r>
        <w:t xml:space="preserve">Configurar protocolos internos.</w:t>
      </w:r>
    </w:p>
    <w:p>
      <w:pPr>
        <w:pStyle w:val="Compact"/>
        <w:numPr>
          <w:ilvl w:val="0"/>
          <w:numId w:val="1005"/>
        </w:numPr>
      </w:pPr>
      <w:r>
        <w:t xml:space="preserve">Configurar medicamentos disponibles.</w:t>
      </w:r>
    </w:p>
    <w:p>
      <w:pPr>
        <w:pStyle w:val="Compact"/>
        <w:numPr>
          <w:ilvl w:val="0"/>
          <w:numId w:val="1005"/>
        </w:numPr>
      </w:pPr>
      <w:r>
        <w:t xml:space="preserve">Configurar rangos de laboratorio.</w:t>
      </w:r>
    </w:p>
    <w:p>
      <w:pPr>
        <w:pStyle w:val="Compact"/>
        <w:numPr>
          <w:ilvl w:val="0"/>
          <w:numId w:val="1005"/>
        </w:numPr>
      </w:pPr>
      <w:r>
        <w:t xml:space="preserve">Ver auditoría de uso.</w:t>
      </w:r>
    </w:p>
    <w:p>
      <w:pPr>
        <w:pStyle w:val="Compact"/>
        <w:numPr>
          <w:ilvl w:val="0"/>
          <w:numId w:val="1005"/>
        </w:numPr>
      </w:pPr>
      <w:r>
        <w:t xml:space="preserve">Ver reportes generales.</w:t>
      </w:r>
    </w:p>
    <w:p>
      <w:pPr>
        <w:pStyle w:val="Compact"/>
        <w:numPr>
          <w:ilvl w:val="0"/>
          <w:numId w:val="1005"/>
        </w:numPr>
      </w:pPr>
      <w:r>
        <w:t xml:space="preserve">Definir si ciertas recomendaciones requieren validación adicional.</w:t>
      </w:r>
    </w:p>
    <w:bookmarkEnd w:id="29"/>
    <w:bookmarkStart w:id="30" w:name="médico"/>
    <w:p>
      <w:pPr>
        <w:pStyle w:val="Heading3"/>
      </w:pPr>
      <w:r>
        <w:t xml:space="preserve">7.2 Médico</w:t>
      </w:r>
    </w:p>
    <w:p>
      <w:pPr>
        <w:pStyle w:val="FirstParagraph"/>
      </w:pPr>
      <w:r>
        <w:t xml:space="preserve">El médico puede:</w:t>
      </w:r>
    </w:p>
    <w:p>
      <w:pPr>
        <w:pStyle w:val="Compact"/>
        <w:numPr>
          <w:ilvl w:val="0"/>
          <w:numId w:val="1006"/>
        </w:numPr>
      </w:pPr>
      <w:r>
        <w:t xml:space="preserve">Crear pacientes.</w:t>
      </w:r>
    </w:p>
    <w:p>
      <w:pPr>
        <w:pStyle w:val="Compact"/>
        <w:numPr>
          <w:ilvl w:val="0"/>
          <w:numId w:val="1006"/>
        </w:numPr>
      </w:pPr>
      <w:r>
        <w:t xml:space="preserve">Ingresar datos clínicos.</w:t>
      </w:r>
    </w:p>
    <w:p>
      <w:pPr>
        <w:pStyle w:val="Compact"/>
        <w:numPr>
          <w:ilvl w:val="0"/>
          <w:numId w:val="1006"/>
        </w:numPr>
      </w:pPr>
      <w:r>
        <w:t xml:space="preserve">Ingresar laboratorios.</w:t>
      </w:r>
    </w:p>
    <w:p>
      <w:pPr>
        <w:pStyle w:val="Compact"/>
        <w:numPr>
          <w:ilvl w:val="0"/>
          <w:numId w:val="1006"/>
        </w:numPr>
      </w:pPr>
      <w:r>
        <w:t xml:space="preserve">Ver cálculos automáticos.</w:t>
      </w:r>
    </w:p>
    <w:p>
      <w:pPr>
        <w:pStyle w:val="Compact"/>
        <w:numPr>
          <w:ilvl w:val="0"/>
          <w:numId w:val="1006"/>
        </w:numPr>
      </w:pPr>
      <w:r>
        <w:t xml:space="preserve">Recibir clasificación del trastorno.</w:t>
      </w:r>
    </w:p>
    <w:p>
      <w:pPr>
        <w:pStyle w:val="Compact"/>
        <w:numPr>
          <w:ilvl w:val="0"/>
          <w:numId w:val="1006"/>
        </w:numPr>
      </w:pPr>
      <w:r>
        <w:t xml:space="preserve">Ver orden médica sugerida.</w:t>
      </w:r>
    </w:p>
    <w:p>
      <w:pPr>
        <w:pStyle w:val="Compact"/>
        <w:numPr>
          <w:ilvl w:val="0"/>
          <w:numId w:val="1006"/>
        </w:numPr>
      </w:pPr>
      <w:r>
        <w:t xml:space="preserve">Editar la orden antes de copiarla o guardarla.</w:t>
      </w:r>
    </w:p>
    <w:p>
      <w:pPr>
        <w:pStyle w:val="Compact"/>
        <w:numPr>
          <w:ilvl w:val="0"/>
          <w:numId w:val="1006"/>
        </w:numPr>
      </w:pPr>
      <w:r>
        <w:t xml:space="preserve">Ingresar laboratorios de control.</w:t>
      </w:r>
    </w:p>
    <w:p>
      <w:pPr>
        <w:pStyle w:val="Compact"/>
        <w:numPr>
          <w:ilvl w:val="0"/>
          <w:numId w:val="1006"/>
        </w:numPr>
      </w:pPr>
      <w:r>
        <w:t xml:space="preserve">Hacer seguimiento diario.</w:t>
      </w:r>
    </w:p>
    <w:p>
      <w:pPr>
        <w:pStyle w:val="Compact"/>
        <w:numPr>
          <w:ilvl w:val="0"/>
          <w:numId w:val="1006"/>
        </w:numPr>
      </w:pPr>
      <w:r>
        <w:t xml:space="preserve">Ver alertas críticas.</w:t>
      </w:r>
    </w:p>
    <w:p>
      <w:pPr>
        <w:pStyle w:val="Compact"/>
        <w:numPr>
          <w:ilvl w:val="0"/>
          <w:numId w:val="1006"/>
        </w:numPr>
      </w:pPr>
      <w:r>
        <w:t xml:space="preserve">Exportar resumen clínico.</w:t>
      </w:r>
    </w:p>
    <w:bookmarkEnd w:id="30"/>
    <w:bookmarkStart w:id="31" w:name="residente-o-usuario-supervisado-opcional"/>
    <w:p>
      <w:pPr>
        <w:pStyle w:val="Heading3"/>
      </w:pPr>
      <w:r>
        <w:t xml:space="preserve">7.3 Residente o usuario supervisado, opcional</w:t>
      </w:r>
    </w:p>
    <w:p>
      <w:pPr>
        <w:pStyle w:val="FirstParagraph"/>
      </w:pPr>
      <w:r>
        <w:t xml:space="preserve">En instituciones académicas podrá existir un usuario supervisado. Este usuario puede generar recomendaciones, pero la institución puede configurar que la orden quede marcada como pendiente de validación por un médico responsable.</w:t>
      </w:r>
    </w:p>
    <w:bookmarkEnd w:id="31"/>
    <w:bookmarkStart w:id="32" w:name="usuario-de-solo-lectura-opcional"/>
    <w:p>
      <w:pPr>
        <w:pStyle w:val="Heading3"/>
      </w:pPr>
      <w:r>
        <w:t xml:space="preserve">7.4 Usuario de solo lectura, opcional</w:t>
      </w:r>
    </w:p>
    <w:p>
      <w:pPr>
        <w:pStyle w:val="FirstParagraph"/>
      </w:pPr>
      <w:r>
        <w:t xml:space="preserve">Puede revisar pacientes, planes y reportes, pero no modificar datos ni generar órdenes activas.</w:t>
      </w:r>
    </w:p>
    <w:bookmarkEnd w:id="32"/>
    <w:bookmarkEnd w:id="33"/>
    <w:bookmarkStart w:id="41" w:name="flujo-clínico-principal"/>
    <w:p>
      <w:pPr>
        <w:pStyle w:val="Heading2"/>
      </w:pPr>
      <w:r>
        <w:t xml:space="preserve">8. Flujo clínico principal</w:t>
      </w:r>
    </w:p>
    <w:bookmarkStart w:id="34" w:name="crear-paciente"/>
    <w:p>
      <w:pPr>
        <w:pStyle w:val="Heading3"/>
      </w:pPr>
      <w:r>
        <w:t xml:space="preserve">8.1 Crear paciente</w:t>
      </w:r>
    </w:p>
    <w:p>
      <w:pPr>
        <w:pStyle w:val="FirstParagraph"/>
      </w:pPr>
      <w:r>
        <w:t xml:space="preserve">El médico crea un paciente con identificación local, edad, sexo, peso, talla opcional, servicio, ubicación, estado clínico y comorbilidades.</w:t>
      </w:r>
    </w:p>
    <w:bookmarkEnd w:id="34"/>
    <w:bookmarkStart w:id="35" w:name="ingresar-datos-clínicos"/>
    <w:p>
      <w:pPr>
        <w:pStyle w:val="Heading3"/>
      </w:pPr>
      <w:r>
        <w:t xml:space="preserve">8.2 Ingresar datos clínicos</w:t>
      </w:r>
    </w:p>
    <w:p>
      <w:pPr>
        <w:pStyle w:val="FirstParagraph"/>
      </w:pPr>
      <w:r>
        <w:t xml:space="preserve">La app solicita datos clave: creatinina, diuresis, volemia, síntomas, vía oral, acceso venoso, medicamentos relevantes y contexto clínico.</w:t>
      </w:r>
    </w:p>
    <w:bookmarkEnd w:id="35"/>
    <w:bookmarkStart w:id="36" w:name="ingresar-laboratorios"/>
    <w:p>
      <w:pPr>
        <w:pStyle w:val="Heading3"/>
      </w:pPr>
      <w:r>
        <w:t xml:space="preserve">8.3 Ingresar laboratorios</w:t>
      </w:r>
    </w:p>
    <w:p>
      <w:pPr>
        <w:pStyle w:val="FirstParagraph"/>
      </w:pPr>
      <w:r>
        <w:t xml:space="preserve">El médico ingresa sodio, potasio, magnesio, fósforo, calcio, albúmina, glucosa, creatinina y otros datos disponibles.</w:t>
      </w:r>
    </w:p>
    <w:bookmarkEnd w:id="36"/>
    <w:bookmarkStart w:id="37" w:name="cálculo-automático"/>
    <w:p>
      <w:pPr>
        <w:pStyle w:val="Heading3"/>
      </w:pPr>
      <w:r>
        <w:t xml:space="preserve">8.4 Cálculo automático</w:t>
      </w:r>
    </w:p>
    <w:p>
      <w:pPr>
        <w:pStyle w:val="FirstParagraph"/>
      </w:pPr>
      <w:r>
        <w:t xml:space="preserve">La app calcula TFG estimada, depuración por Cockcroft-Gault, sodio corregido por glucosa, calcio corregido por albúmina, osmolaridad calculada si hay datos, déficit de agua libre si aplica, agua corporal total estimada y riesgo clínico.</w:t>
      </w:r>
    </w:p>
    <w:bookmarkEnd w:id="37"/>
    <w:bookmarkStart w:id="38" w:name="diagnóstico-automático"/>
    <w:p>
      <w:pPr>
        <w:pStyle w:val="Heading3"/>
      </w:pPr>
      <w:r>
        <w:t xml:space="preserve">8.5 Diagnóstico automático</w:t>
      </w:r>
    </w:p>
    <w:p>
      <w:pPr>
        <w:pStyle w:val="FirstParagraph"/>
      </w:pPr>
      <w:r>
        <w:t xml:space="preserve">La app identifica los trastornos presentes y los ordena por prioridad clínica.</w:t>
      </w:r>
    </w:p>
    <w:p>
      <w:pPr>
        <w:pStyle w:val="BodyText"/>
      </w:pPr>
      <w:r>
        <w:t xml:space="preserve">Ejemplo:</w:t>
      </w:r>
    </w:p>
    <w:p>
      <w:pPr>
        <w:pStyle w:val="Compact"/>
        <w:numPr>
          <w:ilvl w:val="0"/>
          <w:numId w:val="1007"/>
        </w:numPr>
      </w:pPr>
      <w:r>
        <w:t xml:space="preserve">Hiperkalemia severa con riesgo arrítmico.</w:t>
      </w:r>
    </w:p>
    <w:p>
      <w:pPr>
        <w:pStyle w:val="Compact"/>
        <w:numPr>
          <w:ilvl w:val="0"/>
          <w:numId w:val="1007"/>
        </w:numPr>
      </w:pPr>
      <w:r>
        <w:t xml:space="preserve">Hiponatremia moderada.</w:t>
      </w:r>
    </w:p>
    <w:p>
      <w:pPr>
        <w:pStyle w:val="Compact"/>
        <w:numPr>
          <w:ilvl w:val="0"/>
          <w:numId w:val="1007"/>
        </w:numPr>
      </w:pPr>
      <w:r>
        <w:t xml:space="preserve">Hipomagnesemia leve.</w:t>
      </w:r>
    </w:p>
    <w:bookmarkEnd w:id="38"/>
    <w:bookmarkStart w:id="39" w:name="generación-de-orden-médica-sugerida"/>
    <w:p>
      <w:pPr>
        <w:pStyle w:val="Heading3"/>
      </w:pPr>
      <w:r>
        <w:t xml:space="preserve">8.6 Generación de orden médica sugerida</w:t>
      </w:r>
    </w:p>
    <w:p>
      <w:pPr>
        <w:pStyle w:val="FirstParagraph"/>
      </w:pPr>
      <w:r>
        <w:t xml:space="preserve">La app genera una orden específica y editable:</w:t>
      </w:r>
    </w:p>
    <w:p>
      <w:pPr>
        <w:pStyle w:val="Compact"/>
        <w:numPr>
          <w:ilvl w:val="0"/>
          <w:numId w:val="1008"/>
        </w:numPr>
      </w:pPr>
      <w:r>
        <w:t xml:space="preserve">Medicamento o solución.</w:t>
      </w:r>
    </w:p>
    <w:p>
      <w:pPr>
        <w:pStyle w:val="Compact"/>
        <w:numPr>
          <w:ilvl w:val="0"/>
          <w:numId w:val="1008"/>
        </w:numPr>
      </w:pPr>
      <w:r>
        <w:t xml:space="preserve">Dosis.</w:t>
      </w:r>
    </w:p>
    <w:p>
      <w:pPr>
        <w:pStyle w:val="Compact"/>
        <w:numPr>
          <w:ilvl w:val="0"/>
          <w:numId w:val="1008"/>
        </w:numPr>
      </w:pPr>
      <w:r>
        <w:t xml:space="preserve">Dilución.</w:t>
      </w:r>
    </w:p>
    <w:p>
      <w:pPr>
        <w:pStyle w:val="Compact"/>
        <w:numPr>
          <w:ilvl w:val="0"/>
          <w:numId w:val="1008"/>
        </w:numPr>
      </w:pPr>
      <w:r>
        <w:t xml:space="preserve">Vía.</w:t>
      </w:r>
    </w:p>
    <w:p>
      <w:pPr>
        <w:pStyle w:val="Compact"/>
        <w:numPr>
          <w:ilvl w:val="0"/>
          <w:numId w:val="1008"/>
        </w:numPr>
      </w:pPr>
      <w:r>
        <w:t xml:space="preserve">Velocidad.</w:t>
      </w:r>
    </w:p>
    <w:p>
      <w:pPr>
        <w:pStyle w:val="Compact"/>
        <w:numPr>
          <w:ilvl w:val="0"/>
          <w:numId w:val="1008"/>
        </w:numPr>
      </w:pPr>
      <w:r>
        <w:t xml:space="preserve">Duración.</w:t>
      </w:r>
    </w:p>
    <w:p>
      <w:pPr>
        <w:pStyle w:val="Compact"/>
        <w:numPr>
          <w:ilvl w:val="0"/>
          <w:numId w:val="1008"/>
        </w:numPr>
      </w:pPr>
      <w:r>
        <w:t xml:space="preserve">Laboratorios de control.</w:t>
      </w:r>
    </w:p>
    <w:p>
      <w:pPr>
        <w:pStyle w:val="Compact"/>
        <w:numPr>
          <w:ilvl w:val="0"/>
          <w:numId w:val="1008"/>
        </w:numPr>
      </w:pPr>
      <w:r>
        <w:t xml:space="preserve">Criterios de suspensión o ajuste.</w:t>
      </w:r>
    </w:p>
    <w:p>
      <w:pPr>
        <w:pStyle w:val="Compact"/>
        <w:numPr>
          <w:ilvl w:val="0"/>
          <w:numId w:val="1008"/>
        </w:numPr>
      </w:pPr>
      <w:r>
        <w:t xml:space="preserve">Alertas.</w:t>
      </w:r>
    </w:p>
    <w:bookmarkEnd w:id="39"/>
    <w:bookmarkStart w:id="40" w:name="seguimiento"/>
    <w:p>
      <w:pPr>
        <w:pStyle w:val="Heading3"/>
      </w:pPr>
      <w:r>
        <w:t xml:space="preserve">8.7 Seguimiento</w:t>
      </w:r>
    </w:p>
    <w:p>
      <w:pPr>
        <w:pStyle w:val="FirstParagraph"/>
      </w:pPr>
      <w:r>
        <w:t xml:space="preserve">El médico ingresa un nuevo laboratorio de control. La app recalcula el cambio, evalúa si la corrección fue adecuada, lenta o excesiva, y genera una nueva sugerencia.</w:t>
      </w:r>
    </w:p>
    <w:bookmarkEnd w:id="40"/>
    <w:bookmarkEnd w:id="41"/>
    <w:bookmarkStart w:id="49" w:name="pantallas-principales"/>
    <w:p>
      <w:pPr>
        <w:pStyle w:val="Heading2"/>
      </w:pPr>
      <w:r>
        <w:t xml:space="preserve">9. Pantallas principales</w:t>
      </w:r>
    </w:p>
    <w:bookmarkStart w:id="42" w:name="pantalla-de-inicio"/>
    <w:p>
      <w:pPr>
        <w:pStyle w:val="Heading3"/>
      </w:pPr>
      <w:r>
        <w:t xml:space="preserve">9.1 Pantalla de inicio</w:t>
      </w:r>
    </w:p>
    <w:p>
      <w:pPr>
        <w:pStyle w:val="FirstParagraph"/>
      </w:pPr>
      <w:r>
        <w:t xml:space="preserve">Debe mostrar:</w:t>
      </w:r>
    </w:p>
    <w:p>
      <w:pPr>
        <w:pStyle w:val="Compact"/>
        <w:numPr>
          <w:ilvl w:val="0"/>
          <w:numId w:val="1009"/>
        </w:numPr>
      </w:pPr>
      <w:r>
        <w:t xml:space="preserve">Pacientes activos.</w:t>
      </w:r>
    </w:p>
    <w:p>
      <w:pPr>
        <w:pStyle w:val="Compact"/>
        <w:numPr>
          <w:ilvl w:val="0"/>
          <w:numId w:val="1009"/>
        </w:numPr>
      </w:pPr>
      <w:r>
        <w:t xml:space="preserve">Pacientes con alertas críticas.</w:t>
      </w:r>
    </w:p>
    <w:p>
      <w:pPr>
        <w:pStyle w:val="Compact"/>
        <w:numPr>
          <w:ilvl w:val="0"/>
          <w:numId w:val="1009"/>
        </w:numPr>
      </w:pPr>
      <w:r>
        <w:t xml:space="preserve">Controles de laboratorio vencidos.</w:t>
      </w:r>
    </w:p>
    <w:p>
      <w:pPr>
        <w:pStyle w:val="Compact"/>
        <w:numPr>
          <w:ilvl w:val="0"/>
          <w:numId w:val="1009"/>
        </w:numPr>
      </w:pPr>
      <w:r>
        <w:t xml:space="preserve">Próximos controles.</w:t>
      </w:r>
    </w:p>
    <w:p>
      <w:pPr>
        <w:pStyle w:val="Compact"/>
        <w:numPr>
          <w:ilvl w:val="0"/>
          <w:numId w:val="1009"/>
        </w:numPr>
      </w:pPr>
      <w:r>
        <w:t xml:space="preserve">Trastornos severos activos.</w:t>
      </w:r>
    </w:p>
    <w:p>
      <w:pPr>
        <w:pStyle w:val="Compact"/>
        <w:numPr>
          <w:ilvl w:val="0"/>
          <w:numId w:val="1009"/>
        </w:numPr>
      </w:pPr>
      <w:r>
        <w:t xml:space="preserve">Acceso rápido a nuevo paciente.</w:t>
      </w:r>
    </w:p>
    <w:p>
      <w:pPr>
        <w:pStyle w:val="Compact"/>
        <w:numPr>
          <w:ilvl w:val="0"/>
          <w:numId w:val="1009"/>
        </w:numPr>
      </w:pPr>
      <w:r>
        <w:t xml:space="preserve">Acceso rápido a calculadora electrolítica.</w:t>
      </w:r>
    </w:p>
    <w:bookmarkEnd w:id="42"/>
    <w:bookmarkStart w:id="43" w:name="nuevo-paciente"/>
    <w:p>
      <w:pPr>
        <w:pStyle w:val="Heading3"/>
      </w:pPr>
      <w:r>
        <w:t xml:space="preserve">9.2 Nuevo paciente</w:t>
      </w:r>
    </w:p>
    <w:p>
      <w:pPr>
        <w:pStyle w:val="FirstParagraph"/>
      </w:pPr>
      <w:r>
        <w:t xml:space="preserve">Formulario estructurado para ingresar datos generales, clínicos y de laboratorio.</w:t>
      </w:r>
    </w:p>
    <w:bookmarkEnd w:id="43"/>
    <w:bookmarkStart w:id="44" w:name="perfil-del-paciente"/>
    <w:p>
      <w:pPr>
        <w:pStyle w:val="Heading3"/>
      </w:pPr>
      <w:r>
        <w:t xml:space="preserve">9.3 Perfil del paciente</w:t>
      </w:r>
    </w:p>
    <w:p>
      <w:pPr>
        <w:pStyle w:val="FirstParagraph"/>
      </w:pPr>
      <w:r>
        <w:t xml:space="preserve">Debe mostrar:</w:t>
      </w:r>
    </w:p>
    <w:p>
      <w:pPr>
        <w:pStyle w:val="Compact"/>
        <w:numPr>
          <w:ilvl w:val="0"/>
          <w:numId w:val="1010"/>
        </w:numPr>
      </w:pPr>
      <w:r>
        <w:t xml:space="preserve">Datos básicos.</w:t>
      </w:r>
    </w:p>
    <w:p>
      <w:pPr>
        <w:pStyle w:val="Compact"/>
        <w:numPr>
          <w:ilvl w:val="0"/>
          <w:numId w:val="1010"/>
        </w:numPr>
      </w:pPr>
      <w:r>
        <w:t xml:space="preserve">Comorbilidades marcadas.</w:t>
      </w:r>
    </w:p>
    <w:p>
      <w:pPr>
        <w:pStyle w:val="Compact"/>
        <w:numPr>
          <w:ilvl w:val="0"/>
          <w:numId w:val="1010"/>
        </w:numPr>
      </w:pPr>
      <w:r>
        <w:t xml:space="preserve">Medicamentos relevantes.</w:t>
      </w:r>
    </w:p>
    <w:p>
      <w:pPr>
        <w:pStyle w:val="Compact"/>
        <w:numPr>
          <w:ilvl w:val="0"/>
          <w:numId w:val="1010"/>
        </w:numPr>
      </w:pPr>
      <w:r>
        <w:t xml:space="preserve">Última función renal.</w:t>
      </w:r>
    </w:p>
    <w:p>
      <w:pPr>
        <w:pStyle w:val="Compact"/>
        <w:numPr>
          <w:ilvl w:val="0"/>
          <w:numId w:val="1010"/>
        </w:numPr>
      </w:pPr>
      <w:r>
        <w:t xml:space="preserve">Últimos electrolitos.</w:t>
      </w:r>
    </w:p>
    <w:p>
      <w:pPr>
        <w:pStyle w:val="Compact"/>
        <w:numPr>
          <w:ilvl w:val="0"/>
          <w:numId w:val="1010"/>
        </w:numPr>
      </w:pPr>
      <w:r>
        <w:t xml:space="preserve">Trastornos activos.</w:t>
      </w:r>
    </w:p>
    <w:p>
      <w:pPr>
        <w:pStyle w:val="Compact"/>
        <w:numPr>
          <w:ilvl w:val="0"/>
          <w:numId w:val="1010"/>
        </w:numPr>
      </w:pPr>
      <w:r>
        <w:t xml:space="preserve">Plan actual.</w:t>
      </w:r>
    </w:p>
    <w:p>
      <w:pPr>
        <w:pStyle w:val="Compact"/>
        <w:numPr>
          <w:ilvl w:val="0"/>
          <w:numId w:val="1010"/>
        </w:numPr>
      </w:pPr>
      <w:r>
        <w:t xml:space="preserve">Laboratorios pendientes.</w:t>
      </w:r>
    </w:p>
    <w:p>
      <w:pPr>
        <w:pStyle w:val="Compact"/>
        <w:numPr>
          <w:ilvl w:val="0"/>
          <w:numId w:val="1010"/>
        </w:numPr>
      </w:pPr>
      <w:r>
        <w:t xml:space="preserve">Historial de correcciones.</w:t>
      </w:r>
    </w:p>
    <w:bookmarkEnd w:id="44"/>
    <w:bookmarkStart w:id="45" w:name="módulo-de-trastornos"/>
    <w:p>
      <w:pPr>
        <w:pStyle w:val="Heading3"/>
      </w:pPr>
      <w:r>
        <w:t xml:space="preserve">9.4 Módulo de trastornos</w:t>
      </w:r>
    </w:p>
    <w:p>
      <w:pPr>
        <w:pStyle w:val="FirstParagraph"/>
      </w:pPr>
      <w:r>
        <w:t xml:space="preserve">Debe dividirse en:</w:t>
      </w:r>
    </w:p>
    <w:p>
      <w:pPr>
        <w:pStyle w:val="Compact"/>
        <w:numPr>
          <w:ilvl w:val="0"/>
          <w:numId w:val="1011"/>
        </w:numPr>
      </w:pPr>
      <w:r>
        <w:t xml:space="preserve">Sodio.</w:t>
      </w:r>
    </w:p>
    <w:p>
      <w:pPr>
        <w:pStyle w:val="Compact"/>
        <w:numPr>
          <w:ilvl w:val="0"/>
          <w:numId w:val="1011"/>
        </w:numPr>
      </w:pPr>
      <w:r>
        <w:t xml:space="preserve">Potasio.</w:t>
      </w:r>
    </w:p>
    <w:p>
      <w:pPr>
        <w:pStyle w:val="Compact"/>
        <w:numPr>
          <w:ilvl w:val="0"/>
          <w:numId w:val="1011"/>
        </w:numPr>
      </w:pPr>
      <w:r>
        <w:t xml:space="preserve">Magnesio.</w:t>
      </w:r>
    </w:p>
    <w:p>
      <w:pPr>
        <w:pStyle w:val="Compact"/>
        <w:numPr>
          <w:ilvl w:val="0"/>
          <w:numId w:val="1011"/>
        </w:numPr>
      </w:pPr>
      <w:r>
        <w:t xml:space="preserve">Fósforo.</w:t>
      </w:r>
    </w:p>
    <w:p>
      <w:pPr>
        <w:pStyle w:val="Compact"/>
        <w:numPr>
          <w:ilvl w:val="0"/>
          <w:numId w:val="1011"/>
        </w:numPr>
      </w:pPr>
      <w:r>
        <w:t xml:space="preserve">Calcio.</w:t>
      </w:r>
    </w:p>
    <w:p>
      <w:pPr>
        <w:pStyle w:val="Compact"/>
        <w:numPr>
          <w:ilvl w:val="0"/>
          <w:numId w:val="1011"/>
        </w:numPr>
      </w:pPr>
      <w:r>
        <w:t xml:space="preserve">Hipercalcemia maligna.</w:t>
      </w:r>
    </w:p>
    <w:bookmarkEnd w:id="45"/>
    <w:bookmarkStart w:id="46" w:name="seguimiento-diario"/>
    <w:p>
      <w:pPr>
        <w:pStyle w:val="Heading3"/>
      </w:pPr>
      <w:r>
        <w:t xml:space="preserve">9.5 Seguimiento diario</w:t>
      </w:r>
    </w:p>
    <w:p>
      <w:pPr>
        <w:pStyle w:val="FirstParagraph"/>
      </w:pPr>
      <w:r>
        <w:t xml:space="preserve">Debe permitir ver la evolución por fecha y hora:</w:t>
      </w:r>
    </w:p>
    <w:p>
      <w:pPr>
        <w:pStyle w:val="Compact"/>
        <w:numPr>
          <w:ilvl w:val="0"/>
          <w:numId w:val="1012"/>
        </w:numPr>
      </w:pPr>
      <w:r>
        <w:t xml:space="preserve">Sodio.</w:t>
      </w:r>
    </w:p>
    <w:p>
      <w:pPr>
        <w:pStyle w:val="Compact"/>
        <w:numPr>
          <w:ilvl w:val="0"/>
          <w:numId w:val="1012"/>
        </w:numPr>
      </w:pPr>
      <w:r>
        <w:t xml:space="preserve">Potasio.</w:t>
      </w:r>
    </w:p>
    <w:p>
      <w:pPr>
        <w:pStyle w:val="Compact"/>
        <w:numPr>
          <w:ilvl w:val="0"/>
          <w:numId w:val="1012"/>
        </w:numPr>
      </w:pPr>
      <w:r>
        <w:t xml:space="preserve">Magnesio.</w:t>
      </w:r>
    </w:p>
    <w:p>
      <w:pPr>
        <w:pStyle w:val="Compact"/>
        <w:numPr>
          <w:ilvl w:val="0"/>
          <w:numId w:val="1012"/>
        </w:numPr>
      </w:pPr>
      <w:r>
        <w:t xml:space="preserve">Fósforo.</w:t>
      </w:r>
    </w:p>
    <w:p>
      <w:pPr>
        <w:pStyle w:val="Compact"/>
        <w:numPr>
          <w:ilvl w:val="0"/>
          <w:numId w:val="1012"/>
        </w:numPr>
      </w:pPr>
      <w:r>
        <w:t xml:space="preserve">Calcio.</w:t>
      </w:r>
    </w:p>
    <w:p>
      <w:pPr>
        <w:pStyle w:val="Compact"/>
        <w:numPr>
          <w:ilvl w:val="0"/>
          <w:numId w:val="1012"/>
        </w:numPr>
      </w:pPr>
      <w:r>
        <w:t xml:space="preserve">Creatinina.</w:t>
      </w:r>
    </w:p>
    <w:p>
      <w:pPr>
        <w:pStyle w:val="Compact"/>
        <w:numPr>
          <w:ilvl w:val="0"/>
          <w:numId w:val="1012"/>
        </w:numPr>
      </w:pPr>
      <w:r>
        <w:t xml:space="preserve">TFG.</w:t>
      </w:r>
    </w:p>
    <w:p>
      <w:pPr>
        <w:pStyle w:val="Compact"/>
        <w:numPr>
          <w:ilvl w:val="0"/>
          <w:numId w:val="1012"/>
        </w:numPr>
      </w:pPr>
      <w:r>
        <w:t xml:space="preserve">Diuresis.</w:t>
      </w:r>
    </w:p>
    <w:p>
      <w:pPr>
        <w:pStyle w:val="Compact"/>
        <w:numPr>
          <w:ilvl w:val="0"/>
          <w:numId w:val="1012"/>
        </w:numPr>
      </w:pPr>
      <w:r>
        <w:t xml:space="preserve">Balance hídrico.</w:t>
      </w:r>
    </w:p>
    <w:p>
      <w:pPr>
        <w:pStyle w:val="Compact"/>
        <w:numPr>
          <w:ilvl w:val="0"/>
          <w:numId w:val="1012"/>
        </w:numPr>
      </w:pPr>
      <w:r>
        <w:t xml:space="preserve">Plan generado.</w:t>
      </w:r>
    </w:p>
    <w:p>
      <w:pPr>
        <w:pStyle w:val="Compact"/>
        <w:numPr>
          <w:ilvl w:val="0"/>
          <w:numId w:val="1012"/>
        </w:numPr>
      </w:pPr>
      <w:r>
        <w:t xml:space="preserve">Cambios realizados.</w:t>
      </w:r>
    </w:p>
    <w:bookmarkEnd w:id="46"/>
    <w:bookmarkStart w:id="47" w:name="órdenes-médicas-sugeridas"/>
    <w:p>
      <w:pPr>
        <w:pStyle w:val="Heading3"/>
      </w:pPr>
      <w:r>
        <w:t xml:space="preserve">9.6 Órdenes médicas sugeridas</w:t>
      </w:r>
    </w:p>
    <w:p>
      <w:pPr>
        <w:pStyle w:val="FirstParagraph"/>
      </w:pPr>
      <w:r>
        <w:t xml:space="preserve">Debe mostrar una tarjeta por cada trastorno relevante.</w:t>
      </w:r>
    </w:p>
    <w:p>
      <w:pPr>
        <w:pStyle w:val="BodyText"/>
      </w:pPr>
      <w:r>
        <w:t xml:space="preserve">Cada tarjeta debe incluir:</w:t>
      </w:r>
    </w:p>
    <w:p>
      <w:pPr>
        <w:pStyle w:val="Compact"/>
        <w:numPr>
          <w:ilvl w:val="0"/>
          <w:numId w:val="1013"/>
        </w:numPr>
      </w:pPr>
      <w:r>
        <w:t xml:space="preserve">Diagnóstico hidroelectrolítico.</w:t>
      </w:r>
    </w:p>
    <w:p>
      <w:pPr>
        <w:pStyle w:val="Compact"/>
        <w:numPr>
          <w:ilvl w:val="0"/>
          <w:numId w:val="1013"/>
        </w:numPr>
      </w:pPr>
      <w:r>
        <w:t xml:space="preserve">Severidad.</w:t>
      </w:r>
    </w:p>
    <w:p>
      <w:pPr>
        <w:pStyle w:val="Compact"/>
        <w:numPr>
          <w:ilvl w:val="0"/>
          <w:numId w:val="1013"/>
        </w:numPr>
      </w:pPr>
      <w:r>
        <w:t xml:space="preserve">Riesgo clínico.</w:t>
      </w:r>
    </w:p>
    <w:p>
      <w:pPr>
        <w:pStyle w:val="Compact"/>
        <w:numPr>
          <w:ilvl w:val="0"/>
          <w:numId w:val="1013"/>
        </w:numPr>
      </w:pPr>
      <w:r>
        <w:t xml:space="preserve">Orden médica sugerida.</w:t>
      </w:r>
    </w:p>
    <w:p>
      <w:pPr>
        <w:pStyle w:val="Compact"/>
        <w:numPr>
          <w:ilvl w:val="0"/>
          <w:numId w:val="1013"/>
        </w:numPr>
      </w:pPr>
      <w:r>
        <w:t xml:space="preserve">Justificación.</w:t>
      </w:r>
    </w:p>
    <w:p>
      <w:pPr>
        <w:pStyle w:val="Compact"/>
        <w:numPr>
          <w:ilvl w:val="0"/>
          <w:numId w:val="1013"/>
        </w:numPr>
      </w:pPr>
      <w:r>
        <w:t xml:space="preserve">Controles.</w:t>
      </w:r>
    </w:p>
    <w:p>
      <w:pPr>
        <w:pStyle w:val="Compact"/>
        <w:numPr>
          <w:ilvl w:val="0"/>
          <w:numId w:val="1013"/>
        </w:numPr>
      </w:pPr>
      <w:r>
        <w:t xml:space="preserve">Alertas.</w:t>
      </w:r>
    </w:p>
    <w:p>
      <w:pPr>
        <w:pStyle w:val="Compact"/>
        <w:numPr>
          <w:ilvl w:val="0"/>
          <w:numId w:val="1013"/>
        </w:numPr>
      </w:pPr>
      <w:r>
        <w:t xml:space="preserve">Botón copiar.</w:t>
      </w:r>
    </w:p>
    <w:p>
      <w:pPr>
        <w:pStyle w:val="Compact"/>
        <w:numPr>
          <w:ilvl w:val="0"/>
          <w:numId w:val="1013"/>
        </w:numPr>
      </w:pPr>
      <w:r>
        <w:t xml:space="preserve">Botón editar.</w:t>
      </w:r>
    </w:p>
    <w:p>
      <w:pPr>
        <w:pStyle w:val="Compact"/>
        <w:numPr>
          <w:ilvl w:val="0"/>
          <w:numId w:val="1013"/>
        </w:numPr>
      </w:pPr>
      <w:r>
        <w:t xml:space="preserve">Botón guardar.</w:t>
      </w:r>
    </w:p>
    <w:p>
      <w:pPr>
        <w:pStyle w:val="Compact"/>
        <w:numPr>
          <w:ilvl w:val="0"/>
          <w:numId w:val="1013"/>
        </w:numPr>
      </w:pPr>
      <w:r>
        <w:t xml:space="preserve">Botón recalcular con nuevo laboratorio.</w:t>
      </w:r>
    </w:p>
    <w:bookmarkEnd w:id="47"/>
    <w:bookmarkStart w:id="48" w:name="alertas"/>
    <w:p>
      <w:pPr>
        <w:pStyle w:val="Heading3"/>
      </w:pPr>
      <w:r>
        <w:t xml:space="preserve">9.7 Alertas</w:t>
      </w:r>
    </w:p>
    <w:p>
      <w:pPr>
        <w:pStyle w:val="FirstParagraph"/>
      </w:pPr>
      <w:r>
        <w:t xml:space="preserve">Debe mostrar alertas con colores:</w:t>
      </w:r>
    </w:p>
    <w:p>
      <w:pPr>
        <w:pStyle w:val="BodyText"/>
      </w:pPr>
      <w:r>
        <w:t xml:space="preserve">Rojo: emergencia o riesgo vital.</w:t>
      </w:r>
    </w:p>
    <w:p>
      <w:pPr>
        <w:pStyle w:val="BodyText"/>
      </w:pPr>
      <w:r>
        <w:t xml:space="preserve">Naranja: alto riesgo, requiere vigilancia estrecha.</w:t>
      </w:r>
    </w:p>
    <w:p>
      <w:pPr>
        <w:pStyle w:val="BodyText"/>
      </w:pPr>
      <w:r>
        <w:t xml:space="preserve">Amarillo: alteración relevante pero no crítica.</w:t>
      </w:r>
    </w:p>
    <w:p>
      <w:pPr>
        <w:pStyle w:val="BodyText"/>
      </w:pPr>
      <w:r>
        <w:t xml:space="preserve">Verde: corrección adecuada o paciente estable.</w:t>
      </w:r>
    </w:p>
    <w:bookmarkEnd w:id="48"/>
    <w:bookmarkEnd w:id="49"/>
    <w:bookmarkStart w:id="50" w:name="datos-obligatorios-del-paciente"/>
    <w:p>
      <w:pPr>
        <w:pStyle w:val="Heading2"/>
      </w:pPr>
      <w:r>
        <w:t xml:space="preserve">10. Datos obligatorios del paciente</w:t>
      </w:r>
    </w:p>
    <w:p>
      <w:pPr>
        <w:pStyle w:val="FirstParagraph"/>
      </w:pPr>
      <w:r>
        <w:t xml:space="preserve">Para generar una recomendación segura, la app debe solicitar como mínimo:</w:t>
      </w:r>
    </w:p>
    <w:p>
      <w:pPr>
        <w:pStyle w:val="Compact"/>
        <w:numPr>
          <w:ilvl w:val="0"/>
          <w:numId w:val="1014"/>
        </w:numPr>
      </w:pPr>
      <w:r>
        <w:t xml:space="preserve">Edad.</w:t>
      </w:r>
    </w:p>
    <w:p>
      <w:pPr>
        <w:pStyle w:val="Compact"/>
        <w:numPr>
          <w:ilvl w:val="0"/>
          <w:numId w:val="1014"/>
        </w:numPr>
      </w:pPr>
      <w:r>
        <w:t xml:space="preserve">Sexo biológico.</w:t>
      </w:r>
    </w:p>
    <w:p>
      <w:pPr>
        <w:pStyle w:val="Compact"/>
        <w:numPr>
          <w:ilvl w:val="0"/>
          <w:numId w:val="1014"/>
        </w:numPr>
      </w:pPr>
      <w:r>
        <w:t xml:space="preserve">Peso.</w:t>
      </w:r>
    </w:p>
    <w:p>
      <w:pPr>
        <w:pStyle w:val="Compact"/>
        <w:numPr>
          <w:ilvl w:val="0"/>
          <w:numId w:val="1014"/>
        </w:numPr>
      </w:pPr>
      <w:r>
        <w:t xml:space="preserve">Creatinina.</w:t>
      </w:r>
    </w:p>
    <w:p>
      <w:pPr>
        <w:pStyle w:val="Compact"/>
        <w:numPr>
          <w:ilvl w:val="0"/>
          <w:numId w:val="1014"/>
        </w:numPr>
      </w:pPr>
      <w:r>
        <w:t xml:space="preserve">Sodio.</w:t>
      </w:r>
    </w:p>
    <w:p>
      <w:pPr>
        <w:pStyle w:val="Compact"/>
        <w:numPr>
          <w:ilvl w:val="0"/>
          <w:numId w:val="1014"/>
        </w:numPr>
      </w:pPr>
      <w:r>
        <w:t xml:space="preserve">Potasio.</w:t>
      </w:r>
    </w:p>
    <w:p>
      <w:pPr>
        <w:pStyle w:val="Compact"/>
        <w:numPr>
          <w:ilvl w:val="0"/>
          <w:numId w:val="1014"/>
        </w:numPr>
      </w:pPr>
      <w:r>
        <w:t xml:space="preserve">Calcio total o calcio ionizado si está disponible.</w:t>
      </w:r>
    </w:p>
    <w:p>
      <w:pPr>
        <w:pStyle w:val="Compact"/>
        <w:numPr>
          <w:ilvl w:val="0"/>
          <w:numId w:val="1014"/>
        </w:numPr>
      </w:pPr>
      <w:r>
        <w:t xml:space="preserve">Albúmina si se va a interpretar calcio total.</w:t>
      </w:r>
    </w:p>
    <w:p>
      <w:pPr>
        <w:pStyle w:val="Compact"/>
        <w:numPr>
          <w:ilvl w:val="0"/>
          <w:numId w:val="1014"/>
        </w:numPr>
      </w:pPr>
      <w:r>
        <w:t xml:space="preserve">Magnesio.</w:t>
      </w:r>
    </w:p>
    <w:p>
      <w:pPr>
        <w:pStyle w:val="Compact"/>
        <w:numPr>
          <w:ilvl w:val="0"/>
          <w:numId w:val="1014"/>
        </w:numPr>
      </w:pPr>
      <w:r>
        <w:t xml:space="preserve">Fósforo.</w:t>
      </w:r>
    </w:p>
    <w:p>
      <w:pPr>
        <w:pStyle w:val="Compact"/>
        <w:numPr>
          <w:ilvl w:val="0"/>
          <w:numId w:val="1014"/>
        </w:numPr>
      </w:pPr>
      <w:r>
        <w:t xml:space="preserve">Glucosa.</w:t>
      </w:r>
    </w:p>
    <w:p>
      <w:pPr>
        <w:pStyle w:val="Compact"/>
        <w:numPr>
          <w:ilvl w:val="0"/>
          <w:numId w:val="1014"/>
        </w:numPr>
      </w:pPr>
      <w:r>
        <w:t xml:space="preserve">Diuresis.</w:t>
      </w:r>
    </w:p>
    <w:p>
      <w:pPr>
        <w:pStyle w:val="Compact"/>
        <w:numPr>
          <w:ilvl w:val="0"/>
          <w:numId w:val="1014"/>
        </w:numPr>
      </w:pPr>
      <w:r>
        <w:t xml:space="preserve">Estado clínico.</w:t>
      </w:r>
    </w:p>
    <w:p>
      <w:pPr>
        <w:pStyle w:val="Compact"/>
        <w:numPr>
          <w:ilvl w:val="0"/>
          <w:numId w:val="1014"/>
        </w:numPr>
      </w:pPr>
      <w:r>
        <w:t xml:space="preserve">Síntomas neurológicos.</w:t>
      </w:r>
    </w:p>
    <w:p>
      <w:pPr>
        <w:pStyle w:val="Compact"/>
        <w:numPr>
          <w:ilvl w:val="0"/>
          <w:numId w:val="1014"/>
        </w:numPr>
      </w:pPr>
      <w:r>
        <w:t xml:space="preserve">Síntomas cardiovasculares.</w:t>
      </w:r>
    </w:p>
    <w:p>
      <w:pPr>
        <w:pStyle w:val="Compact"/>
        <w:numPr>
          <w:ilvl w:val="0"/>
          <w:numId w:val="1014"/>
        </w:numPr>
      </w:pPr>
      <w:r>
        <w:t xml:space="preserve">Vía oral disponible.</w:t>
      </w:r>
    </w:p>
    <w:p>
      <w:pPr>
        <w:pStyle w:val="Compact"/>
        <w:numPr>
          <w:ilvl w:val="0"/>
          <w:numId w:val="1014"/>
        </w:numPr>
      </w:pPr>
      <w:r>
        <w:t xml:space="preserve">Acceso venoso periférico o central.</w:t>
      </w:r>
    </w:p>
    <w:p>
      <w:pPr>
        <w:pStyle w:val="Compact"/>
        <w:numPr>
          <w:ilvl w:val="0"/>
          <w:numId w:val="1014"/>
        </w:numPr>
      </w:pPr>
      <w:r>
        <w:t xml:space="preserve">Medicamentos relevantes.</w:t>
      </w:r>
    </w:p>
    <w:p>
      <w:pPr>
        <w:pStyle w:val="Compact"/>
        <w:numPr>
          <w:ilvl w:val="0"/>
          <w:numId w:val="1014"/>
        </w:numPr>
      </w:pPr>
      <w:r>
        <w:t xml:space="preserve">Comorbilidades marcables.</w:t>
      </w:r>
    </w:p>
    <w:p>
      <w:pPr>
        <w:pStyle w:val="Compact"/>
        <w:numPr>
          <w:ilvl w:val="0"/>
          <w:numId w:val="1014"/>
        </w:numPr>
      </w:pPr>
      <w:r>
        <w:t xml:space="preserve">Hora del laboratorio.</w:t>
      </w:r>
    </w:p>
    <w:p>
      <w:pPr>
        <w:pStyle w:val="FirstParagraph"/>
      </w:pPr>
      <w:r>
        <w:t xml:space="preserve">Si faltan datos críticos, la app puede generar una orientación general, pero no debe generar una orden completa de infusión o reposición de alto riesgo.</w:t>
      </w:r>
    </w:p>
    <w:bookmarkEnd w:id="50"/>
    <w:bookmarkStart w:id="57" w:name="comorbilidades-marcables"/>
    <w:p>
      <w:pPr>
        <w:pStyle w:val="Heading2"/>
      </w:pPr>
      <w:r>
        <w:t xml:space="preserve">11. Comorbilidades marcables</w:t>
      </w:r>
    </w:p>
    <w:p>
      <w:pPr>
        <w:pStyle w:val="FirstParagraph"/>
      </w:pPr>
      <w:r>
        <w:t xml:space="preserve">Las comorbilidades no deben ser texto libre obligatorio. Deben ser seleccionables mediante casillas.</w:t>
      </w:r>
    </w:p>
    <w:bookmarkStart w:id="51" w:name="renales"/>
    <w:p>
      <w:pPr>
        <w:pStyle w:val="Heading3"/>
      </w:pPr>
      <w:r>
        <w:t xml:space="preserve">11.1 Renales</w:t>
      </w:r>
    </w:p>
    <w:p>
      <w:pPr>
        <w:pStyle w:val="Compact"/>
        <w:numPr>
          <w:ilvl w:val="0"/>
          <w:numId w:val="1015"/>
        </w:numPr>
      </w:pPr>
      <w:r>
        <w:t xml:space="preserve">Enfermedad renal crónica.</w:t>
      </w:r>
    </w:p>
    <w:p>
      <w:pPr>
        <w:pStyle w:val="Compact"/>
        <w:numPr>
          <w:ilvl w:val="0"/>
          <w:numId w:val="1015"/>
        </w:numPr>
      </w:pPr>
      <w:r>
        <w:t xml:space="preserve">Lesión renal aguda.</w:t>
      </w:r>
    </w:p>
    <w:p>
      <w:pPr>
        <w:pStyle w:val="Compact"/>
        <w:numPr>
          <w:ilvl w:val="0"/>
          <w:numId w:val="1015"/>
        </w:numPr>
      </w:pPr>
      <w:r>
        <w:t xml:space="preserve">Hemodiálisis.</w:t>
      </w:r>
    </w:p>
    <w:p>
      <w:pPr>
        <w:pStyle w:val="Compact"/>
        <w:numPr>
          <w:ilvl w:val="0"/>
          <w:numId w:val="1015"/>
        </w:numPr>
      </w:pPr>
      <w:r>
        <w:t xml:space="preserve">Diálisis peritoneal.</w:t>
      </w:r>
    </w:p>
    <w:p>
      <w:pPr>
        <w:pStyle w:val="Compact"/>
        <w:numPr>
          <w:ilvl w:val="0"/>
          <w:numId w:val="1015"/>
        </w:numPr>
      </w:pPr>
      <w:r>
        <w:t xml:space="preserve">Trasplante renal.</w:t>
      </w:r>
    </w:p>
    <w:p>
      <w:pPr>
        <w:pStyle w:val="Compact"/>
        <w:numPr>
          <w:ilvl w:val="0"/>
          <w:numId w:val="1015"/>
        </w:numPr>
      </w:pPr>
      <w:r>
        <w:t xml:space="preserve">Oliguria.</w:t>
      </w:r>
    </w:p>
    <w:p>
      <w:pPr>
        <w:pStyle w:val="Compact"/>
        <w:numPr>
          <w:ilvl w:val="0"/>
          <w:numId w:val="1015"/>
        </w:numPr>
      </w:pPr>
      <w:r>
        <w:t xml:space="preserve">Anuria.</w:t>
      </w:r>
    </w:p>
    <w:p>
      <w:pPr>
        <w:pStyle w:val="Compact"/>
        <w:numPr>
          <w:ilvl w:val="0"/>
          <w:numId w:val="1015"/>
        </w:numPr>
      </w:pPr>
      <w:r>
        <w:t xml:space="preserve">Proteinuria significativa.</w:t>
      </w:r>
    </w:p>
    <w:bookmarkEnd w:id="51"/>
    <w:bookmarkStart w:id="52" w:name="cardiovasculares"/>
    <w:p>
      <w:pPr>
        <w:pStyle w:val="Heading3"/>
      </w:pPr>
      <w:r>
        <w:t xml:space="preserve">11.2 Cardiovasculares</w:t>
      </w:r>
    </w:p>
    <w:p>
      <w:pPr>
        <w:pStyle w:val="Compact"/>
        <w:numPr>
          <w:ilvl w:val="0"/>
          <w:numId w:val="1016"/>
        </w:numPr>
      </w:pPr>
      <w:r>
        <w:t xml:space="preserve">Falla cardiaca.</w:t>
      </w:r>
    </w:p>
    <w:p>
      <w:pPr>
        <w:pStyle w:val="Compact"/>
        <w:numPr>
          <w:ilvl w:val="0"/>
          <w:numId w:val="1016"/>
        </w:numPr>
      </w:pPr>
      <w:r>
        <w:t xml:space="preserve">Cardiopatía isquémica.</w:t>
      </w:r>
    </w:p>
    <w:p>
      <w:pPr>
        <w:pStyle w:val="Compact"/>
        <w:numPr>
          <w:ilvl w:val="0"/>
          <w:numId w:val="1016"/>
        </w:numPr>
      </w:pPr>
      <w:r>
        <w:t xml:space="preserve">Arritmias.</w:t>
      </w:r>
    </w:p>
    <w:p>
      <w:pPr>
        <w:pStyle w:val="Compact"/>
        <w:numPr>
          <w:ilvl w:val="0"/>
          <w:numId w:val="1016"/>
        </w:numPr>
      </w:pPr>
      <w:r>
        <w:t xml:space="preserve">QT prolongado.</w:t>
      </w:r>
    </w:p>
    <w:p>
      <w:pPr>
        <w:pStyle w:val="Compact"/>
        <w:numPr>
          <w:ilvl w:val="0"/>
          <w:numId w:val="1016"/>
        </w:numPr>
      </w:pPr>
      <w:r>
        <w:t xml:space="preserve">Hipertensión arterial.</w:t>
      </w:r>
    </w:p>
    <w:p>
      <w:pPr>
        <w:pStyle w:val="Compact"/>
        <w:numPr>
          <w:ilvl w:val="0"/>
          <w:numId w:val="1016"/>
        </w:numPr>
      </w:pPr>
      <w:r>
        <w:t xml:space="preserve">Choque.</w:t>
      </w:r>
    </w:p>
    <w:p>
      <w:pPr>
        <w:pStyle w:val="Compact"/>
        <w:numPr>
          <w:ilvl w:val="0"/>
          <w:numId w:val="1016"/>
        </w:numPr>
      </w:pPr>
      <w:r>
        <w:t xml:space="preserve">Uso de vasopresores.</w:t>
      </w:r>
    </w:p>
    <w:p>
      <w:pPr>
        <w:pStyle w:val="Compact"/>
        <w:numPr>
          <w:ilvl w:val="0"/>
          <w:numId w:val="1016"/>
        </w:numPr>
      </w:pPr>
      <w:r>
        <w:t xml:space="preserve">Edema pulmonar.</w:t>
      </w:r>
    </w:p>
    <w:p>
      <w:pPr>
        <w:pStyle w:val="Compact"/>
        <w:numPr>
          <w:ilvl w:val="0"/>
          <w:numId w:val="1016"/>
        </w:numPr>
      </w:pPr>
      <w:r>
        <w:t xml:space="preserve">Alto riesgo de sobrecarga hídrica.</w:t>
      </w:r>
    </w:p>
    <w:bookmarkEnd w:id="52"/>
    <w:bookmarkStart w:id="53" w:name="hepáticas-y-metabólicas"/>
    <w:p>
      <w:pPr>
        <w:pStyle w:val="Heading3"/>
      </w:pPr>
      <w:r>
        <w:t xml:space="preserve">11.3 Hepáticas y metabólicas</w:t>
      </w:r>
    </w:p>
    <w:p>
      <w:pPr>
        <w:pStyle w:val="Compact"/>
        <w:numPr>
          <w:ilvl w:val="0"/>
          <w:numId w:val="1017"/>
        </w:numPr>
      </w:pPr>
      <w:r>
        <w:t xml:space="preserve">Cirrosis.</w:t>
      </w:r>
    </w:p>
    <w:p>
      <w:pPr>
        <w:pStyle w:val="Compact"/>
        <w:numPr>
          <w:ilvl w:val="0"/>
          <w:numId w:val="1017"/>
        </w:numPr>
      </w:pPr>
      <w:r>
        <w:t xml:space="preserve">Alcoholismo.</w:t>
      </w:r>
    </w:p>
    <w:p>
      <w:pPr>
        <w:pStyle w:val="Compact"/>
        <w:numPr>
          <w:ilvl w:val="0"/>
          <w:numId w:val="1017"/>
        </w:numPr>
      </w:pPr>
      <w:r>
        <w:t xml:space="preserve">Desnutrición.</w:t>
      </w:r>
    </w:p>
    <w:p>
      <w:pPr>
        <w:pStyle w:val="Compact"/>
        <w:numPr>
          <w:ilvl w:val="0"/>
          <w:numId w:val="1017"/>
        </w:numPr>
      </w:pPr>
      <w:r>
        <w:t xml:space="preserve">Diabetes mellitus.</w:t>
      </w:r>
    </w:p>
    <w:p>
      <w:pPr>
        <w:pStyle w:val="Compact"/>
        <w:numPr>
          <w:ilvl w:val="0"/>
          <w:numId w:val="1017"/>
        </w:numPr>
      </w:pPr>
      <w:r>
        <w:t xml:space="preserve">Cetoacidosis diabética.</w:t>
      </w:r>
    </w:p>
    <w:p>
      <w:pPr>
        <w:pStyle w:val="Compact"/>
        <w:numPr>
          <w:ilvl w:val="0"/>
          <w:numId w:val="1017"/>
        </w:numPr>
      </w:pPr>
      <w:r>
        <w:t xml:space="preserve">Síndrome de realimentación.</w:t>
      </w:r>
    </w:p>
    <w:p>
      <w:pPr>
        <w:pStyle w:val="Compact"/>
        <w:numPr>
          <w:ilvl w:val="0"/>
          <w:numId w:val="1017"/>
        </w:numPr>
      </w:pPr>
      <w:r>
        <w:t xml:space="preserve">Obesidad.</w:t>
      </w:r>
    </w:p>
    <w:p>
      <w:pPr>
        <w:pStyle w:val="Compact"/>
        <w:numPr>
          <w:ilvl w:val="0"/>
          <w:numId w:val="1017"/>
        </w:numPr>
      </w:pPr>
      <w:r>
        <w:t xml:space="preserve">Postoperatorio reciente.</w:t>
      </w:r>
    </w:p>
    <w:bookmarkEnd w:id="53"/>
    <w:bookmarkStart w:id="54" w:name="neurológicas"/>
    <w:p>
      <w:pPr>
        <w:pStyle w:val="Heading3"/>
      </w:pPr>
      <w:r>
        <w:t xml:space="preserve">11.4 Neurológicas</w:t>
      </w:r>
    </w:p>
    <w:p>
      <w:pPr>
        <w:pStyle w:val="Compact"/>
        <w:numPr>
          <w:ilvl w:val="0"/>
          <w:numId w:val="1018"/>
        </w:numPr>
      </w:pPr>
      <w:r>
        <w:t xml:space="preserve">Convulsiones.</w:t>
      </w:r>
    </w:p>
    <w:p>
      <w:pPr>
        <w:pStyle w:val="Compact"/>
        <w:numPr>
          <w:ilvl w:val="0"/>
          <w:numId w:val="1018"/>
        </w:numPr>
      </w:pPr>
      <w:r>
        <w:t xml:space="preserve">ACV reciente.</w:t>
      </w:r>
    </w:p>
    <w:p>
      <w:pPr>
        <w:pStyle w:val="Compact"/>
        <w:numPr>
          <w:ilvl w:val="0"/>
          <w:numId w:val="1018"/>
        </w:numPr>
      </w:pPr>
      <w:r>
        <w:t xml:space="preserve">Alteración del estado de conciencia.</w:t>
      </w:r>
    </w:p>
    <w:p>
      <w:pPr>
        <w:pStyle w:val="Compact"/>
        <w:numPr>
          <w:ilvl w:val="0"/>
          <w:numId w:val="1018"/>
        </w:numPr>
      </w:pPr>
      <w:r>
        <w:t xml:space="preserve">Trauma craneoencefálico.</w:t>
      </w:r>
    </w:p>
    <w:p>
      <w:pPr>
        <w:pStyle w:val="Compact"/>
        <w:numPr>
          <w:ilvl w:val="0"/>
          <w:numId w:val="1018"/>
        </w:numPr>
      </w:pPr>
      <w:r>
        <w:t xml:space="preserve">Tumor cerebral.</w:t>
      </w:r>
    </w:p>
    <w:p>
      <w:pPr>
        <w:pStyle w:val="Compact"/>
        <w:numPr>
          <w:ilvl w:val="0"/>
          <w:numId w:val="1018"/>
        </w:numPr>
      </w:pPr>
      <w:r>
        <w:t xml:space="preserve">Riesgo de edema cerebral.</w:t>
      </w:r>
    </w:p>
    <w:bookmarkEnd w:id="54"/>
    <w:bookmarkStart w:id="55" w:name="oncológicas"/>
    <w:p>
      <w:pPr>
        <w:pStyle w:val="Heading3"/>
      </w:pPr>
      <w:r>
        <w:t xml:space="preserve">11.5 Oncológicas</w:t>
      </w:r>
    </w:p>
    <w:p>
      <w:pPr>
        <w:pStyle w:val="Compact"/>
        <w:numPr>
          <w:ilvl w:val="0"/>
          <w:numId w:val="1019"/>
        </w:numPr>
      </w:pPr>
      <w:r>
        <w:t xml:space="preserve">Cáncer activo.</w:t>
      </w:r>
    </w:p>
    <w:p>
      <w:pPr>
        <w:pStyle w:val="Compact"/>
        <w:numPr>
          <w:ilvl w:val="0"/>
          <w:numId w:val="1019"/>
        </w:numPr>
      </w:pPr>
      <w:r>
        <w:t xml:space="preserve">Cáncer metastásico.</w:t>
      </w:r>
    </w:p>
    <w:p>
      <w:pPr>
        <w:pStyle w:val="Compact"/>
        <w:numPr>
          <w:ilvl w:val="0"/>
          <w:numId w:val="1019"/>
        </w:numPr>
      </w:pPr>
      <w:r>
        <w:t xml:space="preserve">Mieloma múltiple.</w:t>
      </w:r>
    </w:p>
    <w:p>
      <w:pPr>
        <w:pStyle w:val="Compact"/>
        <w:numPr>
          <w:ilvl w:val="0"/>
          <w:numId w:val="1019"/>
        </w:numPr>
      </w:pPr>
      <w:r>
        <w:t xml:space="preserve">Linfoma.</w:t>
      </w:r>
    </w:p>
    <w:p>
      <w:pPr>
        <w:pStyle w:val="Compact"/>
        <w:numPr>
          <w:ilvl w:val="0"/>
          <w:numId w:val="1019"/>
        </w:numPr>
      </w:pPr>
      <w:r>
        <w:t xml:space="preserve">Leucemia.</w:t>
      </w:r>
    </w:p>
    <w:p>
      <w:pPr>
        <w:pStyle w:val="Compact"/>
        <w:numPr>
          <w:ilvl w:val="0"/>
          <w:numId w:val="1019"/>
        </w:numPr>
      </w:pPr>
      <w:r>
        <w:t xml:space="preserve">Tumor sólido avanzado.</w:t>
      </w:r>
    </w:p>
    <w:p>
      <w:pPr>
        <w:pStyle w:val="Compact"/>
        <w:numPr>
          <w:ilvl w:val="0"/>
          <w:numId w:val="1019"/>
        </w:numPr>
      </w:pPr>
      <w:r>
        <w:t xml:space="preserve">Metástasis óseas.</w:t>
      </w:r>
    </w:p>
    <w:p>
      <w:pPr>
        <w:pStyle w:val="Compact"/>
        <w:numPr>
          <w:ilvl w:val="0"/>
          <w:numId w:val="1019"/>
        </w:numPr>
      </w:pPr>
      <w:r>
        <w:t xml:space="preserve">Quimioterapia reciente.</w:t>
      </w:r>
    </w:p>
    <w:p>
      <w:pPr>
        <w:pStyle w:val="Compact"/>
        <w:numPr>
          <w:ilvl w:val="0"/>
          <w:numId w:val="1019"/>
        </w:numPr>
      </w:pPr>
      <w:r>
        <w:t xml:space="preserve">Inmunoterapia reciente.</w:t>
      </w:r>
    </w:p>
    <w:p>
      <w:pPr>
        <w:pStyle w:val="Compact"/>
        <w:numPr>
          <w:ilvl w:val="0"/>
          <w:numId w:val="1019"/>
        </w:numPr>
      </w:pPr>
      <w:r>
        <w:t xml:space="preserve">Corticoide crónico.</w:t>
      </w:r>
    </w:p>
    <w:p>
      <w:pPr>
        <w:pStyle w:val="Compact"/>
        <w:numPr>
          <w:ilvl w:val="0"/>
          <w:numId w:val="1019"/>
        </w:numPr>
      </w:pPr>
      <w:r>
        <w:t xml:space="preserve">Hipercalcemia maligna previa.</w:t>
      </w:r>
    </w:p>
    <w:bookmarkEnd w:id="55"/>
    <w:bookmarkStart w:id="56" w:name="medicamentos-relevantes"/>
    <w:p>
      <w:pPr>
        <w:pStyle w:val="Heading3"/>
      </w:pPr>
      <w:r>
        <w:t xml:space="preserve">11.6 Medicamentos relevantes</w:t>
      </w:r>
    </w:p>
    <w:p>
      <w:pPr>
        <w:pStyle w:val="Compact"/>
        <w:numPr>
          <w:ilvl w:val="0"/>
          <w:numId w:val="1020"/>
        </w:numPr>
      </w:pPr>
      <w:r>
        <w:t xml:space="preserve">Diurético de asa.</w:t>
      </w:r>
    </w:p>
    <w:p>
      <w:pPr>
        <w:pStyle w:val="Compact"/>
        <w:numPr>
          <w:ilvl w:val="0"/>
          <w:numId w:val="1020"/>
        </w:numPr>
      </w:pPr>
      <w:r>
        <w:t xml:space="preserve">Tiazida.</w:t>
      </w:r>
    </w:p>
    <w:p>
      <w:pPr>
        <w:pStyle w:val="Compact"/>
        <w:numPr>
          <w:ilvl w:val="0"/>
          <w:numId w:val="1020"/>
        </w:numPr>
      </w:pPr>
      <w:r>
        <w:t xml:space="preserve">IECA.</w:t>
      </w:r>
    </w:p>
    <w:p>
      <w:pPr>
        <w:pStyle w:val="Compact"/>
        <w:numPr>
          <w:ilvl w:val="0"/>
          <w:numId w:val="1020"/>
        </w:numPr>
      </w:pPr>
      <w:r>
        <w:t xml:space="preserve">ARA II.</w:t>
      </w:r>
    </w:p>
    <w:p>
      <w:pPr>
        <w:pStyle w:val="Compact"/>
        <w:numPr>
          <w:ilvl w:val="0"/>
          <w:numId w:val="1020"/>
        </w:numPr>
      </w:pPr>
      <w:r>
        <w:t xml:space="preserve">Espironolactona.</w:t>
      </w:r>
    </w:p>
    <w:p>
      <w:pPr>
        <w:pStyle w:val="Compact"/>
        <w:numPr>
          <w:ilvl w:val="0"/>
          <w:numId w:val="1020"/>
        </w:numPr>
      </w:pPr>
      <w:r>
        <w:t xml:space="preserve">Eplerenona.</w:t>
      </w:r>
    </w:p>
    <w:p>
      <w:pPr>
        <w:pStyle w:val="Compact"/>
        <w:numPr>
          <w:ilvl w:val="0"/>
          <w:numId w:val="1020"/>
        </w:numPr>
      </w:pPr>
      <w:r>
        <w:t xml:space="preserve">Amilorida.</w:t>
      </w:r>
    </w:p>
    <w:p>
      <w:pPr>
        <w:pStyle w:val="Compact"/>
        <w:numPr>
          <w:ilvl w:val="0"/>
          <w:numId w:val="1020"/>
        </w:numPr>
      </w:pPr>
      <w:r>
        <w:t xml:space="preserve">SGLT2.</w:t>
      </w:r>
    </w:p>
    <w:p>
      <w:pPr>
        <w:pStyle w:val="Compact"/>
        <w:numPr>
          <w:ilvl w:val="0"/>
          <w:numId w:val="1020"/>
        </w:numPr>
      </w:pPr>
      <w:r>
        <w:t xml:space="preserve">Litio.</w:t>
      </w:r>
    </w:p>
    <w:p>
      <w:pPr>
        <w:pStyle w:val="Compact"/>
        <w:numPr>
          <w:ilvl w:val="0"/>
          <w:numId w:val="1020"/>
        </w:numPr>
      </w:pPr>
      <w:r>
        <w:t xml:space="preserve">Antiepilépticos.</w:t>
      </w:r>
    </w:p>
    <w:p>
      <w:pPr>
        <w:pStyle w:val="Compact"/>
        <w:numPr>
          <w:ilvl w:val="0"/>
          <w:numId w:val="1020"/>
        </w:numPr>
      </w:pPr>
      <w:r>
        <w:t xml:space="preserve">Anfotericina B.</w:t>
      </w:r>
    </w:p>
    <w:p>
      <w:pPr>
        <w:pStyle w:val="Compact"/>
        <w:numPr>
          <w:ilvl w:val="0"/>
          <w:numId w:val="1020"/>
        </w:numPr>
      </w:pPr>
      <w:r>
        <w:t xml:space="preserve">Cisplatino.</w:t>
      </w:r>
    </w:p>
    <w:p>
      <w:pPr>
        <w:pStyle w:val="Compact"/>
        <w:numPr>
          <w:ilvl w:val="0"/>
          <w:numId w:val="1020"/>
        </w:numPr>
      </w:pPr>
      <w:r>
        <w:t xml:space="preserve">Insulina.</w:t>
      </w:r>
    </w:p>
    <w:p>
      <w:pPr>
        <w:pStyle w:val="Compact"/>
        <w:numPr>
          <w:ilvl w:val="0"/>
          <w:numId w:val="1020"/>
        </w:numPr>
      </w:pPr>
      <w:r>
        <w:t xml:space="preserve">Bicarbonato.</w:t>
      </w:r>
    </w:p>
    <w:p>
      <w:pPr>
        <w:pStyle w:val="Compact"/>
        <w:numPr>
          <w:ilvl w:val="0"/>
          <w:numId w:val="1020"/>
        </w:numPr>
      </w:pPr>
      <w:r>
        <w:t xml:space="preserve">Suplemento de potasio.</w:t>
      </w:r>
    </w:p>
    <w:p>
      <w:pPr>
        <w:pStyle w:val="Compact"/>
        <w:numPr>
          <w:ilvl w:val="0"/>
          <w:numId w:val="1020"/>
        </w:numPr>
      </w:pPr>
      <w:r>
        <w:t xml:space="preserve">Calcio.</w:t>
      </w:r>
    </w:p>
    <w:p>
      <w:pPr>
        <w:pStyle w:val="Compact"/>
        <w:numPr>
          <w:ilvl w:val="0"/>
          <w:numId w:val="1020"/>
        </w:numPr>
      </w:pPr>
      <w:r>
        <w:t xml:space="preserve">Vitamina D.</w:t>
      </w:r>
    </w:p>
    <w:p>
      <w:pPr>
        <w:pStyle w:val="Compact"/>
        <w:numPr>
          <w:ilvl w:val="0"/>
          <w:numId w:val="1020"/>
        </w:numPr>
      </w:pPr>
      <w:r>
        <w:t xml:space="preserve">Denosumab.</w:t>
      </w:r>
    </w:p>
    <w:p>
      <w:pPr>
        <w:pStyle w:val="Compact"/>
        <w:numPr>
          <w:ilvl w:val="0"/>
          <w:numId w:val="1020"/>
        </w:numPr>
      </w:pPr>
      <w:r>
        <w:t xml:space="preserve">Bisfosfonato.</w:t>
      </w:r>
    </w:p>
    <w:p>
      <w:pPr>
        <w:pStyle w:val="Compact"/>
        <w:numPr>
          <w:ilvl w:val="0"/>
          <w:numId w:val="1020"/>
        </w:numPr>
      </w:pPr>
      <w:r>
        <w:t xml:space="preserve">Digoxina.</w:t>
      </w:r>
    </w:p>
    <w:p>
      <w:pPr>
        <w:pStyle w:val="Compact"/>
        <w:numPr>
          <w:ilvl w:val="0"/>
          <w:numId w:val="1020"/>
        </w:numPr>
      </w:pPr>
      <w:r>
        <w:t xml:space="preserve">AINES.</w:t>
      </w:r>
    </w:p>
    <w:p>
      <w:pPr>
        <w:pStyle w:val="Compact"/>
        <w:numPr>
          <w:ilvl w:val="0"/>
          <w:numId w:val="1020"/>
        </w:numPr>
      </w:pPr>
      <w:r>
        <w:t xml:space="preserve">Trimetoprim sulfametoxazol.</w:t>
      </w:r>
    </w:p>
    <w:bookmarkEnd w:id="56"/>
    <w:bookmarkEnd w:id="57"/>
    <w:bookmarkStart w:id="66" w:name="cálculos-automáticos"/>
    <w:p>
      <w:pPr>
        <w:pStyle w:val="Heading2"/>
      </w:pPr>
      <w:r>
        <w:t xml:space="preserve">12. Cálculos automáticos</w:t>
      </w:r>
    </w:p>
    <w:bookmarkStart w:id="58" w:name="función-renal"/>
    <w:p>
      <w:pPr>
        <w:pStyle w:val="Heading3"/>
      </w:pPr>
      <w:r>
        <w:t xml:space="preserve">12.1 Función renal</w:t>
      </w:r>
    </w:p>
    <w:p>
      <w:pPr>
        <w:pStyle w:val="FirstParagraph"/>
      </w:pPr>
      <w:r>
        <w:t xml:space="preserve">La app debe calcular:</w:t>
      </w:r>
    </w:p>
    <w:p>
      <w:pPr>
        <w:pStyle w:val="Compact"/>
        <w:numPr>
          <w:ilvl w:val="0"/>
          <w:numId w:val="1021"/>
        </w:numPr>
      </w:pPr>
      <w:r>
        <w:t xml:space="preserve">TFG estimada por CKD-EPI 2021.</w:t>
      </w:r>
    </w:p>
    <w:p>
      <w:pPr>
        <w:pStyle w:val="Compact"/>
        <w:numPr>
          <w:ilvl w:val="0"/>
          <w:numId w:val="1021"/>
        </w:numPr>
      </w:pPr>
      <w:r>
        <w:t xml:space="preserve">Depuración estimada por Cockcroft-Gault.</w:t>
      </w:r>
    </w:p>
    <w:p>
      <w:pPr>
        <w:pStyle w:val="Compact"/>
        <w:numPr>
          <w:ilvl w:val="0"/>
          <w:numId w:val="1021"/>
        </w:numPr>
      </w:pPr>
      <w:r>
        <w:t xml:space="preserve">Clasificación práctica de función renal.</w:t>
      </w:r>
    </w:p>
    <w:p>
      <w:pPr>
        <w:pStyle w:val="FirstParagraph"/>
      </w:pPr>
      <w:r>
        <w:t xml:space="preserve">La app debe mostrar advertencia si el paciente tiene peso extremo, amputación, sarcopenia severa, embarazo, lesión renal aguda, diálisis o creatinina inestable, porque en estos escenarios la estimación puede ser menos confiable.</w:t>
      </w:r>
    </w:p>
    <w:bookmarkEnd w:id="58"/>
    <w:bookmarkStart w:id="59" w:name="clasificación-renal-práctica"/>
    <w:p>
      <w:pPr>
        <w:pStyle w:val="Heading3"/>
      </w:pPr>
      <w:r>
        <w:t xml:space="preserve">12.2 Clasificación renal práctica</w:t>
      </w:r>
    </w:p>
    <w:p>
      <w:pPr>
        <w:pStyle w:val="Compact"/>
        <w:numPr>
          <w:ilvl w:val="0"/>
          <w:numId w:val="1022"/>
        </w:numPr>
      </w:pPr>
      <w:r>
        <w:t xml:space="preserve">TFG mayor o igual a 90: función renal normal o conservada.</w:t>
      </w:r>
    </w:p>
    <w:p>
      <w:pPr>
        <w:pStyle w:val="Compact"/>
        <w:numPr>
          <w:ilvl w:val="0"/>
          <w:numId w:val="1022"/>
        </w:numPr>
      </w:pPr>
      <w:r>
        <w:t xml:space="preserve">TFG 60 a 89: reducción leve.</w:t>
      </w:r>
    </w:p>
    <w:p>
      <w:pPr>
        <w:pStyle w:val="Compact"/>
        <w:numPr>
          <w:ilvl w:val="0"/>
          <w:numId w:val="1022"/>
        </w:numPr>
      </w:pPr>
      <w:r>
        <w:t xml:space="preserve">TFG 30 a 59: reducción moderada.</w:t>
      </w:r>
    </w:p>
    <w:p>
      <w:pPr>
        <w:pStyle w:val="Compact"/>
        <w:numPr>
          <w:ilvl w:val="0"/>
          <w:numId w:val="1022"/>
        </w:numPr>
      </w:pPr>
      <w:r>
        <w:t xml:space="preserve">TFG 15 a 29: reducción severa.</w:t>
      </w:r>
    </w:p>
    <w:p>
      <w:pPr>
        <w:pStyle w:val="Compact"/>
        <w:numPr>
          <w:ilvl w:val="0"/>
          <w:numId w:val="1022"/>
        </w:numPr>
      </w:pPr>
      <w:r>
        <w:t xml:space="preserve">TFG menor de 15: falla renal avanzada.</w:t>
      </w:r>
    </w:p>
    <w:p>
      <w:pPr>
        <w:pStyle w:val="Compact"/>
        <w:numPr>
          <w:ilvl w:val="0"/>
          <w:numId w:val="1022"/>
        </w:numPr>
      </w:pPr>
      <w:r>
        <w:t xml:space="preserve">Diálisis: paciente en terapia de reemplazo renal.</w:t>
      </w:r>
    </w:p>
    <w:bookmarkEnd w:id="59"/>
    <w:bookmarkStart w:id="60" w:name="agua-corporal-total-estimada"/>
    <w:p>
      <w:pPr>
        <w:pStyle w:val="Heading3"/>
      </w:pPr>
      <w:r>
        <w:t xml:space="preserve">12.3 Agua corporal total estimada</w:t>
      </w:r>
    </w:p>
    <w:p>
      <w:pPr>
        <w:pStyle w:val="FirstParagraph"/>
      </w:pPr>
      <w:r>
        <w:t xml:space="preserve">La app debe estimar agua corporal total para cálculos de sodio:</w:t>
      </w:r>
    </w:p>
    <w:p>
      <w:pPr>
        <w:pStyle w:val="Compact"/>
        <w:numPr>
          <w:ilvl w:val="0"/>
          <w:numId w:val="1023"/>
        </w:numPr>
      </w:pPr>
      <w:r>
        <w:t xml:space="preserve">Hombre adulto: peso por 0.6.</w:t>
      </w:r>
    </w:p>
    <w:p>
      <w:pPr>
        <w:pStyle w:val="Compact"/>
        <w:numPr>
          <w:ilvl w:val="0"/>
          <w:numId w:val="1023"/>
        </w:numPr>
      </w:pPr>
      <w:r>
        <w:t xml:space="preserve">Mujer adulta: peso por 0.5.</w:t>
      </w:r>
    </w:p>
    <w:p>
      <w:pPr>
        <w:pStyle w:val="Compact"/>
        <w:numPr>
          <w:ilvl w:val="0"/>
          <w:numId w:val="1023"/>
        </w:numPr>
      </w:pPr>
      <w:r>
        <w:t xml:space="preserve">Hombre anciano: peso por 0.5.</w:t>
      </w:r>
    </w:p>
    <w:p>
      <w:pPr>
        <w:pStyle w:val="Compact"/>
        <w:numPr>
          <w:ilvl w:val="0"/>
          <w:numId w:val="1023"/>
        </w:numPr>
      </w:pPr>
      <w:r>
        <w:t xml:space="preserve">Mujer anciana: peso por 0.45.</w:t>
      </w:r>
    </w:p>
    <w:p>
      <w:pPr>
        <w:pStyle w:val="FirstParagraph"/>
      </w:pPr>
      <w:r>
        <w:t xml:space="preserve">Estos factores deben ser configurables institucionalmente.</w:t>
      </w:r>
    </w:p>
    <w:bookmarkEnd w:id="60"/>
    <w:bookmarkStart w:id="61" w:name="sodio-corregido-por-glucosa"/>
    <w:p>
      <w:pPr>
        <w:pStyle w:val="Heading3"/>
      </w:pPr>
      <w:r>
        <w:t xml:space="preserve">12.4 Sodio corregido por glucosa</w:t>
      </w:r>
    </w:p>
    <w:p>
      <w:pPr>
        <w:pStyle w:val="FirstParagraph"/>
      </w:pPr>
      <w:r>
        <w:t xml:space="preserve">La app debe corregir el sodio cuando exista hiperglucemia significativa. Debe permitir configurar el factor usado por protocolo institucional.</w:t>
      </w:r>
    </w:p>
    <w:bookmarkEnd w:id="61"/>
    <w:bookmarkStart w:id="62" w:name="calcio-corregido-por-albúmina"/>
    <w:p>
      <w:pPr>
        <w:pStyle w:val="Heading3"/>
      </w:pPr>
      <w:r>
        <w:t xml:space="preserve">12.5 Calcio corregido por albúmina</w:t>
      </w:r>
    </w:p>
    <w:p>
      <w:pPr>
        <w:pStyle w:val="FirstParagraph"/>
      </w:pPr>
      <w:r>
        <w:t xml:space="preserve">La app debe calcular calcio corregido por albúmina si se cuenta con calcio total y albúmina.</w:t>
      </w:r>
    </w:p>
    <w:p>
      <w:pPr>
        <w:pStyle w:val="BodyText"/>
      </w:pPr>
      <w:r>
        <w:t xml:space="preserve">Debe sugerir calcio ionizado cuando:</w:t>
      </w:r>
    </w:p>
    <w:p>
      <w:pPr>
        <w:pStyle w:val="Compact"/>
        <w:numPr>
          <w:ilvl w:val="0"/>
          <w:numId w:val="1024"/>
        </w:numPr>
      </w:pPr>
      <w:r>
        <w:t xml:space="preserve">Paciente en UCI.</w:t>
      </w:r>
    </w:p>
    <w:p>
      <w:pPr>
        <w:pStyle w:val="Compact"/>
        <w:numPr>
          <w:ilvl w:val="0"/>
          <w:numId w:val="1024"/>
        </w:numPr>
      </w:pPr>
      <w:r>
        <w:t xml:space="preserve">Hipoalbuminemia marcada.</w:t>
      </w:r>
    </w:p>
    <w:p>
      <w:pPr>
        <w:pStyle w:val="Compact"/>
        <w:numPr>
          <w:ilvl w:val="0"/>
          <w:numId w:val="1024"/>
        </w:numPr>
      </w:pPr>
      <w:r>
        <w:t xml:space="preserve">Alteración ácido base significativa.</w:t>
      </w:r>
    </w:p>
    <w:p>
      <w:pPr>
        <w:pStyle w:val="Compact"/>
        <w:numPr>
          <w:ilvl w:val="0"/>
          <w:numId w:val="1024"/>
        </w:numPr>
      </w:pPr>
      <w:r>
        <w:t xml:space="preserve">Síntomas discordantes con calcio total.</w:t>
      </w:r>
    </w:p>
    <w:p>
      <w:pPr>
        <w:pStyle w:val="Compact"/>
        <w:numPr>
          <w:ilvl w:val="0"/>
          <w:numId w:val="1024"/>
        </w:numPr>
      </w:pPr>
      <w:r>
        <w:t xml:space="preserve">Falla renal avanzada.</w:t>
      </w:r>
    </w:p>
    <w:p>
      <w:pPr>
        <w:pStyle w:val="Compact"/>
        <w:numPr>
          <w:ilvl w:val="0"/>
          <w:numId w:val="1024"/>
        </w:numPr>
      </w:pPr>
      <w:r>
        <w:t xml:space="preserve">Sepsis o paciente crítico.</w:t>
      </w:r>
    </w:p>
    <w:bookmarkEnd w:id="62"/>
    <w:bookmarkStart w:id="63" w:name="osmolaridad-calculada"/>
    <w:p>
      <w:pPr>
        <w:pStyle w:val="Heading3"/>
      </w:pPr>
      <w:r>
        <w:t xml:space="preserve">12.6 Osmolaridad calculada</w:t>
      </w:r>
    </w:p>
    <w:p>
      <w:pPr>
        <w:pStyle w:val="FirstParagraph"/>
      </w:pPr>
      <w:r>
        <w:t xml:space="preserve">Si hay sodio, glucosa y BUN o urea, la app puede calcular osmolaridad sérica estimada.</w:t>
      </w:r>
    </w:p>
    <w:bookmarkEnd w:id="63"/>
    <w:bookmarkStart w:id="64" w:name="déficit-de-agua-libre"/>
    <w:p>
      <w:pPr>
        <w:pStyle w:val="Heading3"/>
      </w:pPr>
      <w:r>
        <w:t xml:space="preserve">12.7 Déficit de agua libre</w:t>
      </w:r>
    </w:p>
    <w:p>
      <w:pPr>
        <w:pStyle w:val="FirstParagraph"/>
      </w:pPr>
      <w:r>
        <w:t xml:space="preserve">En hipernatremia, la app debe estimar déficit de agua libre y proponer corrección según severidad, tiempo de evolución y riesgo clínico.</w:t>
      </w:r>
    </w:p>
    <w:bookmarkEnd w:id="64"/>
    <w:bookmarkStart w:id="65" w:name="X93638dd28cea353fe6e97a34fd82f8781e2fd0f"/>
    <w:p>
      <w:pPr>
        <w:pStyle w:val="Heading3"/>
      </w:pPr>
      <w:r>
        <w:t xml:space="preserve">12.8 Cambio esperado de sodio con solución hipertónica</w:t>
      </w:r>
    </w:p>
    <w:p>
      <w:pPr>
        <w:pStyle w:val="FirstParagraph"/>
      </w:pPr>
      <w:r>
        <w:t xml:space="preserve">La app debe usar una fórmula configurable para estimar el cambio esperado de sodio con soluciones. Debe permitir calcular velocidad de infusión en cc/hora cuando sea clínicamente apropiado.</w:t>
      </w:r>
    </w:p>
    <w:bookmarkEnd w:id="65"/>
    <w:bookmarkEnd w:id="66"/>
    <w:bookmarkStart w:id="67" w:name="motor-de-decisión-clínica"/>
    <w:p>
      <w:pPr>
        <w:pStyle w:val="Heading2"/>
      </w:pPr>
      <w:r>
        <w:t xml:space="preserve">13. Motor de decisión clínica</w:t>
      </w:r>
    </w:p>
    <w:p>
      <w:pPr>
        <w:pStyle w:val="FirstParagraph"/>
      </w:pPr>
      <w:r>
        <w:t xml:space="preserve">El motor debe funcionar por reglas explícitas. No debe depender de texto libre ni de inteligencia artificial generativa para decidir dosis críticas.</w:t>
      </w:r>
    </w:p>
    <w:p>
      <w:pPr>
        <w:pStyle w:val="BodyText"/>
      </w:pPr>
      <w:r>
        <w:t xml:space="preserve">La secuencia debe ser:</w:t>
      </w:r>
    </w:p>
    <w:p>
      <w:pPr>
        <w:pStyle w:val="Compact"/>
        <w:numPr>
          <w:ilvl w:val="0"/>
          <w:numId w:val="1025"/>
        </w:numPr>
      </w:pPr>
      <w:r>
        <w:t xml:space="preserve">Validar datos mínimos.</w:t>
      </w:r>
    </w:p>
    <w:p>
      <w:pPr>
        <w:pStyle w:val="Compact"/>
        <w:numPr>
          <w:ilvl w:val="0"/>
          <w:numId w:val="1025"/>
        </w:numPr>
      </w:pPr>
      <w:r>
        <w:t xml:space="preserve">Identificar trastornos.</w:t>
      </w:r>
    </w:p>
    <w:p>
      <w:pPr>
        <w:pStyle w:val="Compact"/>
        <w:numPr>
          <w:ilvl w:val="0"/>
          <w:numId w:val="1025"/>
        </w:numPr>
      </w:pPr>
      <w:r>
        <w:t xml:space="preserve">Clasificar severidad.</w:t>
      </w:r>
    </w:p>
    <w:p>
      <w:pPr>
        <w:pStyle w:val="Compact"/>
        <w:numPr>
          <w:ilvl w:val="0"/>
          <w:numId w:val="1025"/>
        </w:numPr>
      </w:pPr>
      <w:r>
        <w:t xml:space="preserve">Identificar síntomas críticos.</w:t>
      </w:r>
    </w:p>
    <w:p>
      <w:pPr>
        <w:pStyle w:val="Compact"/>
        <w:numPr>
          <w:ilvl w:val="0"/>
          <w:numId w:val="1025"/>
        </w:numPr>
      </w:pPr>
      <w:r>
        <w:t xml:space="preserve">Revisar función renal.</w:t>
      </w:r>
    </w:p>
    <w:p>
      <w:pPr>
        <w:pStyle w:val="Compact"/>
        <w:numPr>
          <w:ilvl w:val="0"/>
          <w:numId w:val="1025"/>
        </w:numPr>
      </w:pPr>
      <w:r>
        <w:t xml:space="preserve">Revisar diuresis.</w:t>
      </w:r>
    </w:p>
    <w:p>
      <w:pPr>
        <w:pStyle w:val="Compact"/>
        <w:numPr>
          <w:ilvl w:val="0"/>
          <w:numId w:val="1025"/>
        </w:numPr>
      </w:pPr>
      <w:r>
        <w:t xml:space="preserve">Revisar comorbilidades.</w:t>
      </w:r>
    </w:p>
    <w:p>
      <w:pPr>
        <w:pStyle w:val="Compact"/>
        <w:numPr>
          <w:ilvl w:val="0"/>
          <w:numId w:val="1025"/>
        </w:numPr>
      </w:pPr>
      <w:r>
        <w:t xml:space="preserve">Revisar medicamentos agravantes.</w:t>
      </w:r>
    </w:p>
    <w:p>
      <w:pPr>
        <w:pStyle w:val="Compact"/>
        <w:numPr>
          <w:ilvl w:val="0"/>
          <w:numId w:val="1025"/>
        </w:numPr>
      </w:pPr>
      <w:r>
        <w:t xml:space="preserve">Priorizar trastornos.</w:t>
      </w:r>
    </w:p>
    <w:p>
      <w:pPr>
        <w:pStyle w:val="Compact"/>
        <w:numPr>
          <w:ilvl w:val="0"/>
          <w:numId w:val="1025"/>
        </w:numPr>
      </w:pPr>
      <w:r>
        <w:t xml:space="preserve">Seleccionar terapia.</w:t>
      </w:r>
    </w:p>
    <w:p>
      <w:pPr>
        <w:pStyle w:val="Compact"/>
        <w:numPr>
          <w:ilvl w:val="0"/>
          <w:numId w:val="1025"/>
        </w:numPr>
      </w:pPr>
      <w:r>
        <w:t xml:space="preserve">Calcular dosis o velocidad.</w:t>
      </w:r>
    </w:p>
    <w:p>
      <w:pPr>
        <w:pStyle w:val="Compact"/>
        <w:numPr>
          <w:ilvl w:val="0"/>
          <w:numId w:val="1025"/>
        </w:numPr>
      </w:pPr>
      <w:r>
        <w:t xml:space="preserve">Generar orden sugerida.</w:t>
      </w:r>
    </w:p>
    <w:p>
      <w:pPr>
        <w:pStyle w:val="Compact"/>
        <w:numPr>
          <w:ilvl w:val="0"/>
          <w:numId w:val="1025"/>
        </w:numPr>
      </w:pPr>
      <w:r>
        <w:t xml:space="preserve">Definir controles.</w:t>
      </w:r>
    </w:p>
    <w:p>
      <w:pPr>
        <w:pStyle w:val="Compact"/>
        <w:numPr>
          <w:ilvl w:val="0"/>
          <w:numId w:val="1025"/>
        </w:numPr>
      </w:pPr>
      <w:r>
        <w:t xml:space="preserve">Definir criterios de suspensión.</w:t>
      </w:r>
    </w:p>
    <w:p>
      <w:pPr>
        <w:pStyle w:val="Compact"/>
        <w:numPr>
          <w:ilvl w:val="0"/>
          <w:numId w:val="1025"/>
        </w:numPr>
      </w:pPr>
      <w:r>
        <w:t xml:space="preserve">Crear alertas.</w:t>
      </w:r>
    </w:p>
    <w:p>
      <w:pPr>
        <w:pStyle w:val="Compact"/>
        <w:numPr>
          <w:ilvl w:val="0"/>
          <w:numId w:val="1025"/>
        </w:numPr>
      </w:pPr>
      <w:r>
        <w:t xml:space="preserve">Guardar plan.</w:t>
      </w:r>
    </w:p>
    <w:p>
      <w:pPr>
        <w:pStyle w:val="Compact"/>
        <w:numPr>
          <w:ilvl w:val="0"/>
          <w:numId w:val="1025"/>
        </w:numPr>
      </w:pPr>
      <w:r>
        <w:t xml:space="preserve">Recalcular con laboratorio de control.</w:t>
      </w:r>
    </w:p>
    <w:bookmarkEnd w:id="67"/>
    <w:bookmarkStart w:id="68" w:name="priorización-clínica-automática"/>
    <w:p>
      <w:pPr>
        <w:pStyle w:val="Heading2"/>
      </w:pPr>
      <w:r>
        <w:t xml:space="preserve">14. Priorización clínica automática</w:t>
      </w:r>
    </w:p>
    <w:p>
      <w:pPr>
        <w:pStyle w:val="FirstParagraph"/>
      </w:pPr>
      <w:r>
        <w:t xml:space="preserve">La app debe priorizar alteraciones según riesgo inmediato.</w:t>
      </w:r>
    </w:p>
    <w:p>
      <w:pPr>
        <w:pStyle w:val="BodyText"/>
      </w:pPr>
      <w:r>
        <w:t xml:space="preserve">Prioridad crítica:</w:t>
      </w:r>
    </w:p>
    <w:p>
      <w:pPr>
        <w:pStyle w:val="Compact"/>
        <w:numPr>
          <w:ilvl w:val="0"/>
          <w:numId w:val="1026"/>
        </w:numPr>
      </w:pPr>
      <w:r>
        <w:t xml:space="preserve">Hiperkalemia severa.</w:t>
      </w:r>
    </w:p>
    <w:p>
      <w:pPr>
        <w:pStyle w:val="Compact"/>
        <w:numPr>
          <w:ilvl w:val="0"/>
          <w:numId w:val="1026"/>
        </w:numPr>
      </w:pPr>
      <w:r>
        <w:t xml:space="preserve">Hipokalemia severa con arritmia o debilidad significativa.</w:t>
      </w:r>
    </w:p>
    <w:p>
      <w:pPr>
        <w:pStyle w:val="Compact"/>
        <w:numPr>
          <w:ilvl w:val="0"/>
          <w:numId w:val="1026"/>
        </w:numPr>
      </w:pPr>
      <w:r>
        <w:t xml:space="preserve">Hiponatremia menor de 120 con signos neurológicos.</w:t>
      </w:r>
    </w:p>
    <w:p>
      <w:pPr>
        <w:pStyle w:val="Compact"/>
        <w:numPr>
          <w:ilvl w:val="0"/>
          <w:numId w:val="1026"/>
        </w:numPr>
      </w:pPr>
      <w:r>
        <w:t xml:space="preserve">Hipercalcemia severa sintomática o maligna.</w:t>
      </w:r>
    </w:p>
    <w:p>
      <w:pPr>
        <w:pStyle w:val="Compact"/>
        <w:numPr>
          <w:ilvl w:val="0"/>
          <w:numId w:val="1026"/>
        </w:numPr>
      </w:pPr>
      <w:r>
        <w:t xml:space="preserve">Hipocalcemia sintomática con QT prolongado, tetania, convulsión o laringoespasmo.</w:t>
      </w:r>
    </w:p>
    <w:p>
      <w:pPr>
        <w:pStyle w:val="Compact"/>
        <w:numPr>
          <w:ilvl w:val="0"/>
          <w:numId w:val="1026"/>
        </w:numPr>
      </w:pPr>
      <w:r>
        <w:t xml:space="preserve">Hipomagnesemia con arritmia, convulsión o QT prolongado.</w:t>
      </w:r>
    </w:p>
    <w:p>
      <w:pPr>
        <w:pStyle w:val="Compact"/>
        <w:numPr>
          <w:ilvl w:val="0"/>
          <w:numId w:val="1026"/>
        </w:numPr>
      </w:pPr>
      <w:r>
        <w:t xml:space="preserve">Hipofosfatemia severa con falla respiratoria, ventilación mecánica, rabdomiólisis o debilidad profunda.</w:t>
      </w:r>
    </w:p>
    <w:p>
      <w:pPr>
        <w:pStyle w:val="FirstParagraph"/>
      </w:pPr>
      <w:r>
        <w:t xml:space="preserve">Prioridad alta:</w:t>
      </w:r>
    </w:p>
    <w:p>
      <w:pPr>
        <w:pStyle w:val="Compact"/>
        <w:numPr>
          <w:ilvl w:val="0"/>
          <w:numId w:val="1027"/>
        </w:numPr>
      </w:pPr>
      <w:r>
        <w:t xml:space="preserve">Hipernatremia severa.</w:t>
      </w:r>
    </w:p>
    <w:p>
      <w:pPr>
        <w:pStyle w:val="Compact"/>
        <w:numPr>
          <w:ilvl w:val="0"/>
          <w:numId w:val="1027"/>
        </w:numPr>
      </w:pPr>
      <w:r>
        <w:t xml:space="preserve">Hiponatremia profunda sin síntomas neurológicos.</w:t>
      </w:r>
    </w:p>
    <w:p>
      <w:pPr>
        <w:pStyle w:val="Compact"/>
        <w:numPr>
          <w:ilvl w:val="0"/>
          <w:numId w:val="1027"/>
        </w:numPr>
      </w:pPr>
      <w:r>
        <w:t xml:space="preserve">Hipokalemia moderada con factores de riesgo.</w:t>
      </w:r>
    </w:p>
    <w:p>
      <w:pPr>
        <w:pStyle w:val="Compact"/>
        <w:numPr>
          <w:ilvl w:val="0"/>
          <w:numId w:val="1027"/>
        </w:numPr>
      </w:pPr>
      <w:r>
        <w:t xml:space="preserve">Hiperkalemia moderada.</w:t>
      </w:r>
    </w:p>
    <w:p>
      <w:pPr>
        <w:pStyle w:val="Compact"/>
        <w:numPr>
          <w:ilvl w:val="0"/>
          <w:numId w:val="1027"/>
        </w:numPr>
      </w:pPr>
      <w:r>
        <w:t xml:space="preserve">Hipercalcemia moderada con síntomas.</w:t>
      </w:r>
    </w:p>
    <w:p>
      <w:pPr>
        <w:pStyle w:val="Compact"/>
        <w:numPr>
          <w:ilvl w:val="0"/>
          <w:numId w:val="1027"/>
        </w:numPr>
      </w:pPr>
      <w:r>
        <w:t xml:space="preserve">Alteraciones combinadas.</w:t>
      </w:r>
    </w:p>
    <w:p>
      <w:pPr>
        <w:pStyle w:val="FirstParagraph"/>
      </w:pPr>
      <w:r>
        <w:t xml:space="preserve">Prioridad moderada:</w:t>
      </w:r>
    </w:p>
    <w:p>
      <w:pPr>
        <w:pStyle w:val="Compact"/>
        <w:numPr>
          <w:ilvl w:val="0"/>
          <w:numId w:val="1028"/>
        </w:numPr>
      </w:pPr>
      <w:r>
        <w:t xml:space="preserve">Hiponatremia leve.</w:t>
      </w:r>
    </w:p>
    <w:p>
      <w:pPr>
        <w:pStyle w:val="Compact"/>
        <w:numPr>
          <w:ilvl w:val="0"/>
          <w:numId w:val="1028"/>
        </w:numPr>
      </w:pPr>
      <w:r>
        <w:t xml:space="preserve">Hipokalemia leve.</w:t>
      </w:r>
    </w:p>
    <w:p>
      <w:pPr>
        <w:pStyle w:val="Compact"/>
        <w:numPr>
          <w:ilvl w:val="0"/>
          <w:numId w:val="1028"/>
        </w:numPr>
      </w:pPr>
      <w:r>
        <w:t xml:space="preserve">Hipomagnesemia leve.</w:t>
      </w:r>
    </w:p>
    <w:p>
      <w:pPr>
        <w:pStyle w:val="Compact"/>
        <w:numPr>
          <w:ilvl w:val="0"/>
          <w:numId w:val="1028"/>
        </w:numPr>
      </w:pPr>
      <w:r>
        <w:t xml:space="preserve">Hipofosfatemia leve.</w:t>
      </w:r>
    </w:p>
    <w:p>
      <w:pPr>
        <w:pStyle w:val="Compact"/>
        <w:numPr>
          <w:ilvl w:val="0"/>
          <w:numId w:val="1028"/>
        </w:numPr>
      </w:pPr>
      <w:r>
        <w:t xml:space="preserve">Hipocalcemia leve asintomática.</w:t>
      </w:r>
    </w:p>
    <w:bookmarkEnd w:id="68"/>
    <w:bookmarkStart w:id="76" w:name="módulo-de-sodio"/>
    <w:p>
      <w:pPr>
        <w:pStyle w:val="Heading2"/>
      </w:pPr>
      <w:r>
        <w:t xml:space="preserve">15. Módulo de sodio</w:t>
      </w:r>
    </w:p>
    <w:bookmarkStart w:id="69" w:name="trastornos-incluidos"/>
    <w:p>
      <w:pPr>
        <w:pStyle w:val="Heading3"/>
      </w:pPr>
      <w:r>
        <w:t xml:space="preserve">15.1 Trastornos incluidos</w:t>
      </w:r>
    </w:p>
    <w:p>
      <w:pPr>
        <w:pStyle w:val="Compact"/>
        <w:numPr>
          <w:ilvl w:val="0"/>
          <w:numId w:val="1029"/>
        </w:numPr>
      </w:pPr>
      <w:r>
        <w:t xml:space="preserve">Hiponatremia.</w:t>
      </w:r>
    </w:p>
    <w:p>
      <w:pPr>
        <w:pStyle w:val="Compact"/>
        <w:numPr>
          <w:ilvl w:val="0"/>
          <w:numId w:val="1029"/>
        </w:numPr>
      </w:pPr>
      <w:r>
        <w:t xml:space="preserve">Hipernatremia.</w:t>
      </w:r>
    </w:p>
    <w:p>
      <w:pPr>
        <w:pStyle w:val="Compact"/>
        <w:numPr>
          <w:ilvl w:val="0"/>
          <w:numId w:val="1029"/>
        </w:numPr>
      </w:pPr>
      <w:r>
        <w:t xml:space="preserve">Hiponatremia asociada a hiperglucemia.</w:t>
      </w:r>
    </w:p>
    <w:p>
      <w:pPr>
        <w:pStyle w:val="Compact"/>
        <w:numPr>
          <w:ilvl w:val="0"/>
          <w:numId w:val="1029"/>
        </w:numPr>
      </w:pPr>
      <w:r>
        <w:t xml:space="preserve">Hiponatremia hipotónica.</w:t>
      </w:r>
    </w:p>
    <w:p>
      <w:pPr>
        <w:pStyle w:val="Compact"/>
        <w:numPr>
          <w:ilvl w:val="0"/>
          <w:numId w:val="1029"/>
        </w:numPr>
      </w:pPr>
      <w:r>
        <w:t xml:space="preserve">Hiponatremia hipovolémica.</w:t>
      </w:r>
    </w:p>
    <w:p>
      <w:pPr>
        <w:pStyle w:val="Compact"/>
        <w:numPr>
          <w:ilvl w:val="0"/>
          <w:numId w:val="1029"/>
        </w:numPr>
      </w:pPr>
      <w:r>
        <w:t xml:space="preserve">Hiponatremia euvolémica.</w:t>
      </w:r>
    </w:p>
    <w:p>
      <w:pPr>
        <w:pStyle w:val="Compact"/>
        <w:numPr>
          <w:ilvl w:val="0"/>
          <w:numId w:val="1029"/>
        </w:numPr>
      </w:pPr>
      <w:r>
        <w:t xml:space="preserve">Hiponatremia hipervolémica.</w:t>
      </w:r>
    </w:p>
    <w:p>
      <w:pPr>
        <w:pStyle w:val="Compact"/>
        <w:numPr>
          <w:ilvl w:val="0"/>
          <w:numId w:val="1029"/>
        </w:numPr>
      </w:pPr>
      <w:r>
        <w:t xml:space="preserve">Hiponatremia por SIADH probable.</w:t>
      </w:r>
    </w:p>
    <w:p>
      <w:pPr>
        <w:pStyle w:val="Compact"/>
        <w:numPr>
          <w:ilvl w:val="0"/>
          <w:numId w:val="1029"/>
        </w:numPr>
      </w:pPr>
      <w:r>
        <w:t xml:space="preserve">Hiponatremia por diuréticos.</w:t>
      </w:r>
    </w:p>
    <w:p>
      <w:pPr>
        <w:pStyle w:val="Compact"/>
        <w:numPr>
          <w:ilvl w:val="0"/>
          <w:numId w:val="1029"/>
        </w:numPr>
      </w:pPr>
      <w:r>
        <w:t xml:space="preserve">Hipernatremia por déficit de agua libre.</w:t>
      </w:r>
    </w:p>
    <w:p>
      <w:pPr>
        <w:pStyle w:val="Compact"/>
        <w:numPr>
          <w:ilvl w:val="0"/>
          <w:numId w:val="1029"/>
        </w:numPr>
      </w:pPr>
      <w:r>
        <w:t xml:space="preserve">Hipernatremia por pérdidas renales o extrarrenales.</w:t>
      </w:r>
    </w:p>
    <w:bookmarkEnd w:id="69"/>
    <w:bookmarkStart w:id="70" w:name="datos-específicos-que-debe-pedir"/>
    <w:p>
      <w:pPr>
        <w:pStyle w:val="Heading3"/>
      </w:pPr>
      <w:r>
        <w:t xml:space="preserve">15.2 Datos específicos que debe pedir</w:t>
      </w:r>
    </w:p>
    <w:p>
      <w:pPr>
        <w:pStyle w:val="Compact"/>
        <w:numPr>
          <w:ilvl w:val="0"/>
          <w:numId w:val="1030"/>
        </w:numPr>
      </w:pPr>
      <w:r>
        <w:t xml:space="preserve">Sodio sérico.</w:t>
      </w:r>
    </w:p>
    <w:p>
      <w:pPr>
        <w:pStyle w:val="Compact"/>
        <w:numPr>
          <w:ilvl w:val="0"/>
          <w:numId w:val="1030"/>
        </w:numPr>
      </w:pPr>
      <w:r>
        <w:t xml:space="preserve">Hora del sodio.</w:t>
      </w:r>
    </w:p>
    <w:p>
      <w:pPr>
        <w:pStyle w:val="Compact"/>
        <w:numPr>
          <w:ilvl w:val="0"/>
          <w:numId w:val="1030"/>
        </w:numPr>
      </w:pPr>
      <w:r>
        <w:t xml:space="preserve">Glucosa.</w:t>
      </w:r>
    </w:p>
    <w:p>
      <w:pPr>
        <w:pStyle w:val="Compact"/>
        <w:numPr>
          <w:ilvl w:val="0"/>
          <w:numId w:val="1030"/>
        </w:numPr>
      </w:pPr>
      <w:r>
        <w:t xml:space="preserve">Osmolaridad sérica si está disponible.</w:t>
      </w:r>
    </w:p>
    <w:p>
      <w:pPr>
        <w:pStyle w:val="Compact"/>
        <w:numPr>
          <w:ilvl w:val="0"/>
          <w:numId w:val="1030"/>
        </w:numPr>
      </w:pPr>
      <w:r>
        <w:t xml:space="preserve">Osmolaridad urinaria si está disponible.</w:t>
      </w:r>
    </w:p>
    <w:p>
      <w:pPr>
        <w:pStyle w:val="Compact"/>
        <w:numPr>
          <w:ilvl w:val="0"/>
          <w:numId w:val="1030"/>
        </w:numPr>
      </w:pPr>
      <w:r>
        <w:t xml:space="preserve">Sodio urinario si está disponible.</w:t>
      </w:r>
    </w:p>
    <w:p>
      <w:pPr>
        <w:pStyle w:val="Compact"/>
        <w:numPr>
          <w:ilvl w:val="0"/>
          <w:numId w:val="1030"/>
        </w:numPr>
      </w:pPr>
      <w:r>
        <w:t xml:space="preserve">Potasio urinario si está disponible.</w:t>
      </w:r>
    </w:p>
    <w:p>
      <w:pPr>
        <w:pStyle w:val="Compact"/>
        <w:numPr>
          <w:ilvl w:val="0"/>
          <w:numId w:val="1030"/>
        </w:numPr>
      </w:pPr>
      <w:r>
        <w:t xml:space="preserve">Estado de volemia.</w:t>
      </w:r>
    </w:p>
    <w:p>
      <w:pPr>
        <w:pStyle w:val="Compact"/>
        <w:numPr>
          <w:ilvl w:val="0"/>
          <w:numId w:val="1030"/>
        </w:numPr>
      </w:pPr>
      <w:r>
        <w:t xml:space="preserve">Diuresis.</w:t>
      </w:r>
    </w:p>
    <w:p>
      <w:pPr>
        <w:pStyle w:val="Compact"/>
        <w:numPr>
          <w:ilvl w:val="0"/>
          <w:numId w:val="1030"/>
        </w:numPr>
      </w:pPr>
      <w:r>
        <w:t xml:space="preserve">Síntomas neurológicos.</w:t>
      </w:r>
    </w:p>
    <w:p>
      <w:pPr>
        <w:pStyle w:val="Compact"/>
        <w:numPr>
          <w:ilvl w:val="0"/>
          <w:numId w:val="1030"/>
        </w:numPr>
      </w:pPr>
      <w:r>
        <w:t xml:space="preserve">Tiempo de evolución conocido o desconocido.</w:t>
      </w:r>
    </w:p>
    <w:p>
      <w:pPr>
        <w:pStyle w:val="Compact"/>
        <w:numPr>
          <w:ilvl w:val="0"/>
          <w:numId w:val="1030"/>
        </w:numPr>
      </w:pPr>
      <w:r>
        <w:t xml:space="preserve">Riesgo de desmielinización osmótica.</w:t>
      </w:r>
    </w:p>
    <w:p>
      <w:pPr>
        <w:pStyle w:val="Compact"/>
        <w:numPr>
          <w:ilvl w:val="0"/>
          <w:numId w:val="1030"/>
        </w:numPr>
      </w:pPr>
      <w:r>
        <w:t xml:space="preserve">Uso de diuréticos.</w:t>
      </w:r>
    </w:p>
    <w:p>
      <w:pPr>
        <w:pStyle w:val="Compact"/>
        <w:numPr>
          <w:ilvl w:val="0"/>
          <w:numId w:val="1030"/>
        </w:numPr>
      </w:pPr>
      <w:r>
        <w:t xml:space="preserve">Falla cardiaca.</w:t>
      </w:r>
    </w:p>
    <w:p>
      <w:pPr>
        <w:pStyle w:val="Compact"/>
        <w:numPr>
          <w:ilvl w:val="0"/>
          <w:numId w:val="1030"/>
        </w:numPr>
      </w:pPr>
      <w:r>
        <w:t xml:space="preserve">Cirrosis.</w:t>
      </w:r>
    </w:p>
    <w:p>
      <w:pPr>
        <w:pStyle w:val="Compact"/>
        <w:numPr>
          <w:ilvl w:val="0"/>
          <w:numId w:val="1030"/>
        </w:numPr>
      </w:pPr>
      <w:r>
        <w:t xml:space="preserve">Enfermedad renal.</w:t>
      </w:r>
    </w:p>
    <w:p>
      <w:pPr>
        <w:pStyle w:val="Compact"/>
        <w:numPr>
          <w:ilvl w:val="0"/>
          <w:numId w:val="1030"/>
        </w:numPr>
      </w:pPr>
      <w:r>
        <w:t xml:space="preserve">Vía oral disponible.</w:t>
      </w:r>
    </w:p>
    <w:p>
      <w:pPr>
        <w:pStyle w:val="Compact"/>
        <w:numPr>
          <w:ilvl w:val="0"/>
          <w:numId w:val="1030"/>
        </w:numPr>
      </w:pPr>
      <w:r>
        <w:t xml:space="preserve">Acceso venoso.</w:t>
      </w:r>
    </w:p>
    <w:bookmarkEnd w:id="70"/>
    <w:bookmarkStart w:id="71" w:name="X178a63443e061ea1517f87e2bacd476fca25f41"/>
    <w:p>
      <w:pPr>
        <w:pStyle w:val="Heading3"/>
      </w:pPr>
      <w:r>
        <w:t xml:space="preserve">15.3 Regla interna definida para hiponatremia severa</w:t>
      </w:r>
    </w:p>
    <w:p>
      <w:pPr>
        <w:pStyle w:val="FirstParagraph"/>
      </w:pPr>
      <w:r>
        <w:t xml:space="preserve">La app solo debe activar el módulo automático de solución salina hipertónica al 3% cuando se cumplan ambas condiciones:</w:t>
      </w:r>
    </w:p>
    <w:p>
      <w:pPr>
        <w:pStyle w:val="Compact"/>
        <w:numPr>
          <w:ilvl w:val="0"/>
          <w:numId w:val="1031"/>
        </w:numPr>
      </w:pPr>
      <w:r>
        <w:t xml:space="preserve">Sodio sérico menor de 120 mmol/L.</w:t>
      </w:r>
    </w:p>
    <w:p>
      <w:pPr>
        <w:pStyle w:val="Compact"/>
        <w:numPr>
          <w:ilvl w:val="0"/>
          <w:numId w:val="1031"/>
        </w:numPr>
      </w:pPr>
      <w:r>
        <w:t xml:space="preserve">Presencia de signos neurológicos.</w:t>
      </w:r>
    </w:p>
    <w:p>
      <w:pPr>
        <w:pStyle w:val="FirstParagraph"/>
      </w:pPr>
      <w:r>
        <w:t xml:space="preserve">Signos neurológicos considerados:</w:t>
      </w:r>
    </w:p>
    <w:p>
      <w:pPr>
        <w:pStyle w:val="Compact"/>
        <w:numPr>
          <w:ilvl w:val="0"/>
          <w:numId w:val="1032"/>
        </w:numPr>
      </w:pPr>
      <w:r>
        <w:t xml:space="preserve">Convulsiones.</w:t>
      </w:r>
    </w:p>
    <w:p>
      <w:pPr>
        <w:pStyle w:val="Compact"/>
        <w:numPr>
          <w:ilvl w:val="0"/>
          <w:numId w:val="1032"/>
        </w:numPr>
      </w:pPr>
      <w:r>
        <w:t xml:space="preserve">Coma.</w:t>
      </w:r>
    </w:p>
    <w:p>
      <w:pPr>
        <w:pStyle w:val="Compact"/>
        <w:numPr>
          <w:ilvl w:val="0"/>
          <w:numId w:val="1032"/>
        </w:numPr>
      </w:pPr>
      <w:r>
        <w:t xml:space="preserve">Alteración significativa del estado de conciencia.</w:t>
      </w:r>
    </w:p>
    <w:p>
      <w:pPr>
        <w:pStyle w:val="Compact"/>
        <w:numPr>
          <w:ilvl w:val="0"/>
          <w:numId w:val="1032"/>
        </w:numPr>
      </w:pPr>
      <w:r>
        <w:t xml:space="preserve">Somnolencia marcada.</w:t>
      </w:r>
    </w:p>
    <w:p>
      <w:pPr>
        <w:pStyle w:val="Compact"/>
        <w:numPr>
          <w:ilvl w:val="0"/>
          <w:numId w:val="1032"/>
        </w:numPr>
      </w:pPr>
      <w:r>
        <w:t xml:space="preserve">Confusión aguda.</w:t>
      </w:r>
    </w:p>
    <w:p>
      <w:pPr>
        <w:pStyle w:val="Compact"/>
        <w:numPr>
          <w:ilvl w:val="0"/>
          <w:numId w:val="1032"/>
        </w:numPr>
      </w:pPr>
      <w:r>
        <w:t xml:space="preserve">Delirium atribuible a hiponatremia.</w:t>
      </w:r>
    </w:p>
    <w:p>
      <w:pPr>
        <w:pStyle w:val="Compact"/>
        <w:numPr>
          <w:ilvl w:val="0"/>
          <w:numId w:val="1032"/>
        </w:numPr>
      </w:pPr>
      <w:r>
        <w:t xml:space="preserve">Cefalea intensa con deterioro neurológico.</w:t>
      </w:r>
    </w:p>
    <w:p>
      <w:pPr>
        <w:pStyle w:val="Compact"/>
        <w:numPr>
          <w:ilvl w:val="0"/>
          <w:numId w:val="1032"/>
        </w:numPr>
      </w:pPr>
      <w:r>
        <w:t xml:space="preserve">Vómito persistente asociado a compromiso neurológico.</w:t>
      </w:r>
    </w:p>
    <w:p>
      <w:pPr>
        <w:pStyle w:val="Compact"/>
        <w:numPr>
          <w:ilvl w:val="0"/>
          <w:numId w:val="1032"/>
        </w:numPr>
      </w:pPr>
      <w:r>
        <w:t xml:space="preserve">Sospecha de edema cerebral.</w:t>
      </w:r>
    </w:p>
    <w:p>
      <w:pPr>
        <w:pStyle w:val="FirstParagraph"/>
      </w:pPr>
      <w:r>
        <w:t xml:space="preserve">Si el sodio es menor de 120 pero no hay signos neurológicos, la app debe clasificar como hiponatremia profunda sin activación automática de hipertónica. Debe recomendar evaluación de volemia, osmolaridad, etiología y seguimiento estrecho.</w:t>
      </w:r>
    </w:p>
    <w:p>
      <w:pPr>
        <w:pStyle w:val="BodyText"/>
      </w:pPr>
      <w:r>
        <w:t xml:space="preserve">Si hay síntomas neurológicos con sodio igual o mayor de 120, la app debe advertir que existen síntomas neurológicos no explicados completamente por el criterio interno de hiponatremia severa y sugerir evaluación urgente de diagnósticos alternativos.</w:t>
      </w:r>
    </w:p>
    <w:bookmarkEnd w:id="71"/>
    <w:bookmarkStart w:id="72" w:name="clasificación-funcional-sugerida"/>
    <w:p>
      <w:pPr>
        <w:pStyle w:val="Heading3"/>
      </w:pPr>
      <w:r>
        <w:t xml:space="preserve">15.4 Clasificación funcional sugerida</w:t>
      </w:r>
    </w:p>
    <w:p>
      <w:pPr>
        <w:pStyle w:val="Compact"/>
        <w:numPr>
          <w:ilvl w:val="0"/>
          <w:numId w:val="1033"/>
        </w:numPr>
      </w:pPr>
      <w:r>
        <w:t xml:space="preserve">Sodio 130 a 134: hiponatremia leve.</w:t>
      </w:r>
    </w:p>
    <w:p>
      <w:pPr>
        <w:pStyle w:val="Compact"/>
        <w:numPr>
          <w:ilvl w:val="0"/>
          <w:numId w:val="1033"/>
        </w:numPr>
      </w:pPr>
      <w:r>
        <w:t xml:space="preserve">Sodio 120 a 129: hiponatremia moderada.</w:t>
      </w:r>
    </w:p>
    <w:p>
      <w:pPr>
        <w:pStyle w:val="Compact"/>
        <w:numPr>
          <w:ilvl w:val="0"/>
          <w:numId w:val="1033"/>
        </w:numPr>
      </w:pPr>
      <w:r>
        <w:t xml:space="preserve">Sodio menor de 120 sin síntomas neurológicos: hiponatremia profunda sin activación automática de hipertónica.</w:t>
      </w:r>
    </w:p>
    <w:p>
      <w:pPr>
        <w:pStyle w:val="Compact"/>
        <w:numPr>
          <w:ilvl w:val="0"/>
          <w:numId w:val="1033"/>
        </w:numPr>
      </w:pPr>
      <w:r>
        <w:t xml:space="preserve">Sodio menor de 120 con síntomas neurológicos: hiponatremia severa sintomática.</w:t>
      </w:r>
    </w:p>
    <w:bookmarkEnd w:id="72"/>
    <w:bookmarkStart w:id="73" w:name="Xa3aa14d9393694190ffcd29452310067cd61981"/>
    <w:p>
      <w:pPr>
        <w:pStyle w:val="Heading3"/>
      </w:pPr>
      <w:r>
        <w:t xml:space="preserve">15.5 Órdenes sugeridas en hiponatremia severa sintomática</w:t>
      </w:r>
    </w:p>
    <w:p>
      <w:pPr>
        <w:pStyle w:val="FirstParagraph"/>
      </w:pPr>
      <w:r>
        <w:t xml:space="preserve">Ejemplo de orden por bolo:</w:t>
      </w:r>
    </w:p>
    <w:p>
      <w:pPr>
        <w:pStyle w:val="BodyText"/>
      </w:pPr>
      <w:r>
        <w:rPr>
          <w:b/>
          <w:bCs/>
        </w:rPr>
        <w:t xml:space="preserve">Orden médica sugerida:</w:t>
      </w:r>
      <w:r>
        <w:t xml:space="preserve"> </w:t>
      </w:r>
      <w:r>
        <w:t xml:space="preserve">administrar solución salina hipertónica al 3% 150 cc IV en 20 minutos bajo monitorización clínica y neurológica estricta. Solicitar sodio sérico de control al finalizar el bolo o en 20 a 30 minutos. Repetir bolo si persisten signos neurológicos severos o si no se alcanza ascenso inicial esperado, evitando superar límites de corrección seguros. Continuar vigilancia de diuresis, balance hídrico y estado neurológico.</w:t>
      </w:r>
    </w:p>
    <w:p>
      <w:pPr>
        <w:pStyle w:val="BodyText"/>
      </w:pPr>
      <w:r>
        <w:t xml:space="preserve">Ejemplo de orden por infusión controlada, cuando el médico seleccione este modo:</w:t>
      </w:r>
    </w:p>
    <w:p>
      <w:pPr>
        <w:pStyle w:val="BodyText"/>
      </w:pPr>
      <w:r>
        <w:rPr>
          <w:b/>
          <w:bCs/>
        </w:rPr>
        <w:t xml:space="preserve">Orden médica sugerida:</w:t>
      </w:r>
      <w:r>
        <w:t xml:space="preserve"> </w:t>
      </w:r>
      <w:r>
        <w:t xml:space="preserve">iniciar solución salina hipertónica al 3% a velocidad calculada por la app en cc/hora, por bomba de infusión, con meta de corrección configurada y control de sodio cada 2 a 4 horas durante fase activa. Suspender o ajustar si el sodio asciende más rápido de lo esperado, si hay mejoría neurológica suficiente, si se alcanza la meta inicial o si se aproxima al límite máximo de corrección diaria.</w:t>
      </w:r>
    </w:p>
    <w:p>
      <w:pPr>
        <w:pStyle w:val="BodyText"/>
      </w:pPr>
      <w:r>
        <w:t xml:space="preserve">La velocidad en cc/hora debe calcularse según peso, sexo, edad, agua corporal total estimada, sodio actual, sodio de la solución y meta de ascenso.</w:t>
      </w:r>
    </w:p>
    <w:bookmarkEnd w:id="73"/>
    <w:bookmarkStart w:id="74" w:name="controles-sugeridos-en-sodio"/>
    <w:p>
      <w:pPr>
        <w:pStyle w:val="Heading3"/>
      </w:pPr>
      <w:r>
        <w:t xml:space="preserve">15.6 Controles sugeridos en sodio</w:t>
      </w:r>
    </w:p>
    <w:p>
      <w:pPr>
        <w:pStyle w:val="Compact"/>
        <w:numPr>
          <w:ilvl w:val="0"/>
          <w:numId w:val="1034"/>
        </w:numPr>
      </w:pPr>
      <w:r>
        <w:t xml:space="preserve">Hiponatremia severa sintomática con hipertónica: sodio cada 2 a 4 horas.</w:t>
      </w:r>
    </w:p>
    <w:p>
      <w:pPr>
        <w:pStyle w:val="Compact"/>
        <w:numPr>
          <w:ilvl w:val="0"/>
          <w:numId w:val="1034"/>
        </w:numPr>
      </w:pPr>
      <w:r>
        <w:t xml:space="preserve">Hiponatremia moderada en corrección activa: sodio cada 6 a 8 horas.</w:t>
      </w:r>
    </w:p>
    <w:p>
      <w:pPr>
        <w:pStyle w:val="Compact"/>
        <w:numPr>
          <w:ilvl w:val="0"/>
          <w:numId w:val="1034"/>
        </w:numPr>
      </w:pPr>
      <w:r>
        <w:t xml:space="preserve">Hiponatremia leve estable: sodio cada 24 horas.</w:t>
      </w:r>
    </w:p>
    <w:p>
      <w:pPr>
        <w:pStyle w:val="Compact"/>
        <w:numPr>
          <w:ilvl w:val="0"/>
          <w:numId w:val="1034"/>
        </w:numPr>
      </w:pPr>
      <w:r>
        <w:t xml:space="preserve">Hipernatremia severa o en corrección activa: sodio cada 6 a 8 horas.</w:t>
      </w:r>
    </w:p>
    <w:p>
      <w:pPr>
        <w:pStyle w:val="Compact"/>
        <w:numPr>
          <w:ilvl w:val="0"/>
          <w:numId w:val="1034"/>
        </w:numPr>
      </w:pPr>
      <w:r>
        <w:t xml:space="preserve">Hipernatremia estable: sodio cada 12 a 24 horas.</w:t>
      </w:r>
    </w:p>
    <w:bookmarkEnd w:id="74"/>
    <w:bookmarkStart w:id="75" w:name="alertas-de-sodio"/>
    <w:p>
      <w:pPr>
        <w:pStyle w:val="Heading3"/>
      </w:pPr>
      <w:r>
        <w:t xml:space="preserve">15.7 Alertas de sodio</w:t>
      </w:r>
    </w:p>
    <w:p>
      <w:pPr>
        <w:pStyle w:val="Compact"/>
        <w:numPr>
          <w:ilvl w:val="0"/>
          <w:numId w:val="1035"/>
        </w:numPr>
      </w:pPr>
      <w:r>
        <w:t xml:space="preserve">Riesgo de sobrecorrección.</w:t>
      </w:r>
    </w:p>
    <w:p>
      <w:pPr>
        <w:pStyle w:val="Compact"/>
        <w:numPr>
          <w:ilvl w:val="0"/>
          <w:numId w:val="1035"/>
        </w:numPr>
      </w:pPr>
      <w:r>
        <w:t xml:space="preserve">Ascenso de sodio más rápido de lo esperado.</w:t>
      </w:r>
    </w:p>
    <w:p>
      <w:pPr>
        <w:pStyle w:val="Compact"/>
        <w:numPr>
          <w:ilvl w:val="0"/>
          <w:numId w:val="1035"/>
        </w:numPr>
      </w:pPr>
      <w:r>
        <w:t xml:space="preserve">Sodio críticamente bajo.</w:t>
      </w:r>
    </w:p>
    <w:p>
      <w:pPr>
        <w:pStyle w:val="Compact"/>
        <w:numPr>
          <w:ilvl w:val="0"/>
          <w:numId w:val="1035"/>
        </w:numPr>
      </w:pPr>
      <w:r>
        <w:t xml:space="preserve">Síntomas neurológicos.</w:t>
      </w:r>
    </w:p>
    <w:p>
      <w:pPr>
        <w:pStyle w:val="Compact"/>
        <w:numPr>
          <w:ilvl w:val="0"/>
          <w:numId w:val="1035"/>
        </w:numPr>
      </w:pPr>
      <w:r>
        <w:t xml:space="preserve">Diuresis acuosa súbita.</w:t>
      </w:r>
    </w:p>
    <w:p>
      <w:pPr>
        <w:pStyle w:val="Compact"/>
        <w:numPr>
          <w:ilvl w:val="0"/>
          <w:numId w:val="1035"/>
        </w:numPr>
      </w:pPr>
      <w:r>
        <w:t xml:space="preserve">Hipokalemia concomitante.</w:t>
      </w:r>
    </w:p>
    <w:p>
      <w:pPr>
        <w:pStyle w:val="Compact"/>
        <w:numPr>
          <w:ilvl w:val="0"/>
          <w:numId w:val="1035"/>
        </w:numPr>
      </w:pPr>
      <w:r>
        <w:t xml:space="preserve">Alcoholismo.</w:t>
      </w:r>
    </w:p>
    <w:p>
      <w:pPr>
        <w:pStyle w:val="Compact"/>
        <w:numPr>
          <w:ilvl w:val="0"/>
          <w:numId w:val="1035"/>
        </w:numPr>
      </w:pPr>
      <w:r>
        <w:t xml:space="preserve">Desnutrición.</w:t>
      </w:r>
    </w:p>
    <w:p>
      <w:pPr>
        <w:pStyle w:val="Compact"/>
        <w:numPr>
          <w:ilvl w:val="0"/>
          <w:numId w:val="1035"/>
        </w:numPr>
      </w:pPr>
      <w:r>
        <w:t xml:space="preserve">Cirrosis.</w:t>
      </w:r>
    </w:p>
    <w:p>
      <w:pPr>
        <w:pStyle w:val="Compact"/>
        <w:numPr>
          <w:ilvl w:val="0"/>
          <w:numId w:val="1035"/>
        </w:numPr>
      </w:pPr>
      <w:r>
        <w:t xml:space="preserve">Hiponatremia crónica probable.</w:t>
      </w:r>
    </w:p>
    <w:p>
      <w:pPr>
        <w:pStyle w:val="Compact"/>
        <w:numPr>
          <w:ilvl w:val="0"/>
          <w:numId w:val="1035"/>
        </w:numPr>
      </w:pPr>
      <w:r>
        <w:t xml:space="preserve">Necesidad de suspender o frenar corrección.</w:t>
      </w:r>
    </w:p>
    <w:bookmarkEnd w:id="75"/>
    <w:bookmarkEnd w:id="76"/>
    <w:bookmarkStart w:id="85" w:name="módulo-de-potasio"/>
    <w:p>
      <w:pPr>
        <w:pStyle w:val="Heading2"/>
      </w:pPr>
      <w:r>
        <w:t xml:space="preserve">16. Módulo de potasio</w:t>
      </w:r>
    </w:p>
    <w:bookmarkStart w:id="77" w:name="trastornos-incluidos-1"/>
    <w:p>
      <w:pPr>
        <w:pStyle w:val="Heading3"/>
      </w:pPr>
      <w:r>
        <w:t xml:space="preserve">16.1 Trastornos incluidos</w:t>
      </w:r>
    </w:p>
    <w:p>
      <w:pPr>
        <w:pStyle w:val="Compact"/>
        <w:numPr>
          <w:ilvl w:val="0"/>
          <w:numId w:val="1036"/>
        </w:numPr>
      </w:pPr>
      <w:r>
        <w:t xml:space="preserve">Hipokalemia.</w:t>
      </w:r>
    </w:p>
    <w:p>
      <w:pPr>
        <w:pStyle w:val="Compact"/>
        <w:numPr>
          <w:ilvl w:val="0"/>
          <w:numId w:val="1036"/>
        </w:numPr>
      </w:pPr>
      <w:r>
        <w:t xml:space="preserve">Hiperkalemia.</w:t>
      </w:r>
    </w:p>
    <w:bookmarkEnd w:id="77"/>
    <w:bookmarkStart w:id="78" w:name="datos-específicos-que-debe-pedir-1"/>
    <w:p>
      <w:pPr>
        <w:pStyle w:val="Heading3"/>
      </w:pPr>
      <w:r>
        <w:t xml:space="preserve">16.2 Datos específicos que debe pedir</w:t>
      </w:r>
    </w:p>
    <w:p>
      <w:pPr>
        <w:pStyle w:val="Compact"/>
        <w:numPr>
          <w:ilvl w:val="0"/>
          <w:numId w:val="1037"/>
        </w:numPr>
      </w:pPr>
      <w:r>
        <w:t xml:space="preserve">Potasio sérico.</w:t>
      </w:r>
    </w:p>
    <w:p>
      <w:pPr>
        <w:pStyle w:val="Compact"/>
        <w:numPr>
          <w:ilvl w:val="0"/>
          <w:numId w:val="1037"/>
        </w:numPr>
      </w:pPr>
      <w:r>
        <w:t xml:space="preserve">Hora del potasio.</w:t>
      </w:r>
    </w:p>
    <w:p>
      <w:pPr>
        <w:pStyle w:val="Compact"/>
        <w:numPr>
          <w:ilvl w:val="0"/>
          <w:numId w:val="1037"/>
        </w:numPr>
      </w:pPr>
      <w:r>
        <w:t xml:space="preserve">Creatinina.</w:t>
      </w:r>
    </w:p>
    <w:p>
      <w:pPr>
        <w:pStyle w:val="Compact"/>
        <w:numPr>
          <w:ilvl w:val="0"/>
          <w:numId w:val="1037"/>
        </w:numPr>
      </w:pPr>
      <w:r>
        <w:t xml:space="preserve">TFG.</w:t>
      </w:r>
    </w:p>
    <w:p>
      <w:pPr>
        <w:pStyle w:val="Compact"/>
        <w:numPr>
          <w:ilvl w:val="0"/>
          <w:numId w:val="1037"/>
        </w:numPr>
      </w:pPr>
      <w:r>
        <w:t xml:space="preserve">Diuresis.</w:t>
      </w:r>
    </w:p>
    <w:p>
      <w:pPr>
        <w:pStyle w:val="Compact"/>
        <w:numPr>
          <w:ilvl w:val="0"/>
          <w:numId w:val="1037"/>
        </w:numPr>
      </w:pPr>
      <w:r>
        <w:t xml:space="preserve">Magnesio.</w:t>
      </w:r>
    </w:p>
    <w:p>
      <w:pPr>
        <w:pStyle w:val="Compact"/>
        <w:numPr>
          <w:ilvl w:val="0"/>
          <w:numId w:val="1037"/>
        </w:numPr>
      </w:pPr>
      <w:r>
        <w:t xml:space="preserve">pH y bicarbonato si disponibles.</w:t>
      </w:r>
    </w:p>
    <w:p>
      <w:pPr>
        <w:pStyle w:val="Compact"/>
        <w:numPr>
          <w:ilvl w:val="0"/>
          <w:numId w:val="1037"/>
        </w:numPr>
      </w:pPr>
      <w:r>
        <w:t xml:space="preserve">Glucosa.</w:t>
      </w:r>
    </w:p>
    <w:p>
      <w:pPr>
        <w:pStyle w:val="Compact"/>
        <w:numPr>
          <w:ilvl w:val="0"/>
          <w:numId w:val="1037"/>
        </w:numPr>
      </w:pPr>
      <w:r>
        <w:t xml:space="preserve">ECG disponible.</w:t>
      </w:r>
    </w:p>
    <w:p>
      <w:pPr>
        <w:pStyle w:val="Compact"/>
        <w:numPr>
          <w:ilvl w:val="0"/>
          <w:numId w:val="1037"/>
        </w:numPr>
      </w:pPr>
      <w:r>
        <w:t xml:space="preserve">Cambios electrocardiográficos.</w:t>
      </w:r>
    </w:p>
    <w:p>
      <w:pPr>
        <w:pStyle w:val="Compact"/>
        <w:numPr>
          <w:ilvl w:val="0"/>
          <w:numId w:val="1037"/>
        </w:numPr>
      </w:pPr>
      <w:r>
        <w:t xml:space="preserve">Debilidad muscular.</w:t>
      </w:r>
    </w:p>
    <w:p>
      <w:pPr>
        <w:pStyle w:val="Compact"/>
        <w:numPr>
          <w:ilvl w:val="0"/>
          <w:numId w:val="1037"/>
        </w:numPr>
      </w:pPr>
      <w:r>
        <w:t xml:space="preserve">Arritmia.</w:t>
      </w:r>
    </w:p>
    <w:p>
      <w:pPr>
        <w:pStyle w:val="Compact"/>
        <w:numPr>
          <w:ilvl w:val="0"/>
          <w:numId w:val="1037"/>
        </w:numPr>
      </w:pPr>
      <w:r>
        <w:t xml:space="preserve">Uso de diuréticos.</w:t>
      </w:r>
    </w:p>
    <w:p>
      <w:pPr>
        <w:pStyle w:val="Compact"/>
        <w:numPr>
          <w:ilvl w:val="0"/>
          <w:numId w:val="1037"/>
        </w:numPr>
      </w:pPr>
      <w:r>
        <w:t xml:space="preserve">IECA, ARA II o espironolactona.</w:t>
      </w:r>
    </w:p>
    <w:p>
      <w:pPr>
        <w:pStyle w:val="Compact"/>
        <w:numPr>
          <w:ilvl w:val="0"/>
          <w:numId w:val="1037"/>
        </w:numPr>
      </w:pPr>
      <w:r>
        <w:t xml:space="preserve">Digoxina.</w:t>
      </w:r>
    </w:p>
    <w:p>
      <w:pPr>
        <w:pStyle w:val="Compact"/>
        <w:numPr>
          <w:ilvl w:val="0"/>
          <w:numId w:val="1037"/>
        </w:numPr>
      </w:pPr>
      <w:r>
        <w:t xml:space="preserve">Suplementos de potasio.</w:t>
      </w:r>
    </w:p>
    <w:p>
      <w:pPr>
        <w:pStyle w:val="Compact"/>
        <w:numPr>
          <w:ilvl w:val="0"/>
          <w:numId w:val="1037"/>
        </w:numPr>
      </w:pPr>
      <w:r>
        <w:t xml:space="preserve">Insulina.</w:t>
      </w:r>
    </w:p>
    <w:p>
      <w:pPr>
        <w:pStyle w:val="Compact"/>
        <w:numPr>
          <w:ilvl w:val="0"/>
          <w:numId w:val="1037"/>
        </w:numPr>
      </w:pPr>
      <w:r>
        <w:t xml:space="preserve">Bicarbonato.</w:t>
      </w:r>
    </w:p>
    <w:p>
      <w:pPr>
        <w:pStyle w:val="Compact"/>
        <w:numPr>
          <w:ilvl w:val="0"/>
          <w:numId w:val="1037"/>
        </w:numPr>
      </w:pPr>
      <w:r>
        <w:t xml:space="preserve">Diálisis.</w:t>
      </w:r>
    </w:p>
    <w:bookmarkEnd w:id="78"/>
    <w:bookmarkStart w:id="79" w:name="clasificación-de-hipokalemia"/>
    <w:p>
      <w:pPr>
        <w:pStyle w:val="Heading3"/>
      </w:pPr>
      <w:r>
        <w:t xml:space="preserve">16.3 Clasificación de hipokalemia</w:t>
      </w:r>
    </w:p>
    <w:p>
      <w:pPr>
        <w:pStyle w:val="Compact"/>
        <w:numPr>
          <w:ilvl w:val="0"/>
          <w:numId w:val="1038"/>
        </w:numPr>
      </w:pPr>
      <w:r>
        <w:t xml:space="preserve">Leve: 3.0 a 3.4 mmol/L.</w:t>
      </w:r>
    </w:p>
    <w:p>
      <w:pPr>
        <w:pStyle w:val="Compact"/>
        <w:numPr>
          <w:ilvl w:val="0"/>
          <w:numId w:val="1038"/>
        </w:numPr>
      </w:pPr>
      <w:r>
        <w:t xml:space="preserve">Moderada: 2.5 a 2.9 mmol/L.</w:t>
      </w:r>
    </w:p>
    <w:p>
      <w:pPr>
        <w:pStyle w:val="Compact"/>
        <w:numPr>
          <w:ilvl w:val="0"/>
          <w:numId w:val="1038"/>
        </w:numPr>
      </w:pPr>
      <w:r>
        <w:t xml:space="preserve">Severa: menor de 2.5 mmol/L, síntomas, arritmia o cambios electrocardiográficos.</w:t>
      </w:r>
    </w:p>
    <w:bookmarkEnd w:id="79"/>
    <w:bookmarkStart w:id="80" w:name="clasificación-de-hiperkalemia"/>
    <w:p>
      <w:pPr>
        <w:pStyle w:val="Heading3"/>
      </w:pPr>
      <w:r>
        <w:t xml:space="preserve">16.4 Clasificación de hiperkalemia</w:t>
      </w:r>
    </w:p>
    <w:p>
      <w:pPr>
        <w:pStyle w:val="Compact"/>
        <w:numPr>
          <w:ilvl w:val="0"/>
          <w:numId w:val="1039"/>
        </w:numPr>
      </w:pPr>
      <w:r>
        <w:t xml:space="preserve">Leve: 5.1 a 5.5 mmol/L.</w:t>
      </w:r>
    </w:p>
    <w:p>
      <w:pPr>
        <w:pStyle w:val="Compact"/>
        <w:numPr>
          <w:ilvl w:val="0"/>
          <w:numId w:val="1039"/>
        </w:numPr>
      </w:pPr>
      <w:r>
        <w:t xml:space="preserve">Moderada: 5.6 a 6.0 mmol/L.</w:t>
      </w:r>
    </w:p>
    <w:p>
      <w:pPr>
        <w:pStyle w:val="Compact"/>
        <w:numPr>
          <w:ilvl w:val="0"/>
          <w:numId w:val="1039"/>
        </w:numPr>
      </w:pPr>
      <w:r>
        <w:t xml:space="preserve">Severa: mayor de 6.0 mmol/L, cambios electrocardiográficos, debilidad, arritmia, falla renal severa o ascenso rápido.</w:t>
      </w:r>
    </w:p>
    <w:p>
      <w:pPr>
        <w:pStyle w:val="FirstParagraph"/>
      </w:pPr>
      <w:r>
        <w:t xml:space="preserve">Los rangos deben quedar configurables institucionalmente.</w:t>
      </w:r>
    </w:p>
    <w:bookmarkEnd w:id="80"/>
    <w:bookmarkStart w:id="81" w:name="órdenes-sugeridas-para-hipokalemia"/>
    <w:p>
      <w:pPr>
        <w:pStyle w:val="Heading3"/>
      </w:pPr>
      <w:r>
        <w:t xml:space="preserve">16.5 Órdenes sugeridas para hipokalemia</w:t>
      </w:r>
    </w:p>
    <w:p>
      <w:pPr>
        <w:pStyle w:val="FirstParagraph"/>
      </w:pPr>
      <w:r>
        <w:t xml:space="preserve">Hipokalemia leve con vía oral disponible:</w:t>
      </w:r>
    </w:p>
    <w:p>
      <w:pPr>
        <w:pStyle w:val="BodyText"/>
      </w:pPr>
      <w:r>
        <w:rPr>
          <w:b/>
          <w:bCs/>
        </w:rPr>
        <w:t xml:space="preserve">Orden médica sugerida:</w:t>
      </w:r>
      <w:r>
        <w:t xml:space="preserve"> </w:t>
      </w:r>
      <w:r>
        <w:t xml:space="preserve">administrar cloruro de potasio por vía oral según dosis configurada por protocolo institucional. Solicitar potasio y magnesio de control en 12 a 24 horas. Vigilar función renal, diuresis y medicamentos asociados a pérdida de potasio.</w:t>
      </w:r>
    </w:p>
    <w:p>
      <w:pPr>
        <w:pStyle w:val="BodyText"/>
      </w:pPr>
      <w:r>
        <w:t xml:space="preserve">Hipokalemia moderada:</w:t>
      </w:r>
    </w:p>
    <w:p>
      <w:pPr>
        <w:pStyle w:val="BodyText"/>
      </w:pPr>
      <w:r>
        <w:rPr>
          <w:b/>
          <w:bCs/>
        </w:rPr>
        <w:t xml:space="preserve">Orden médica sugerida:</w:t>
      </w:r>
      <w:r>
        <w:t xml:space="preserve"> </w:t>
      </w:r>
      <w:r>
        <w:t xml:space="preserve">administrar cloruro de potasio por vía oral si tolera vía oral o reposición intravenosa si no tolera, hay síntomas, UCI o necesidad de corrección más rápida. Solicitar potasio y magnesio en 6 a 12 horas según vía y severidad.</w:t>
      </w:r>
    </w:p>
    <w:p>
      <w:pPr>
        <w:pStyle w:val="BodyText"/>
      </w:pPr>
      <w:r>
        <w:t xml:space="preserve">Hipokalemia severa o sintomática:</w:t>
      </w:r>
    </w:p>
    <w:p>
      <w:pPr>
        <w:pStyle w:val="BodyText"/>
      </w:pPr>
      <w:r>
        <w:rPr>
          <w:b/>
          <w:bCs/>
        </w:rPr>
        <w:t xml:space="preserve">Orden médica sugerida:</w:t>
      </w:r>
      <w:r>
        <w:t xml:space="preserve"> </w:t>
      </w:r>
      <w:r>
        <w:t xml:space="preserve">cloruro de potasio 20 mEq IV diluidos en 100 cc de solución salina 0.9%, pasar por bomba de infusión a 10 mEq/hora por vía periférica. Si hay acceso central y monitorización, permitir velocidad mayor según protocolo institucional. Solicitar potasio y magnesio de control en 4 a 6 horas. Corregir magnesio si está bajo. Evitar reposición agresiva si hay anuria, oliguria marcada o falla renal avanzada sin monitorización estrecha.</w:t>
      </w:r>
    </w:p>
    <w:bookmarkEnd w:id="81"/>
    <w:bookmarkStart w:id="82" w:name="órdenes-sugeridas-para-hiperkalemia"/>
    <w:p>
      <w:pPr>
        <w:pStyle w:val="Heading3"/>
      </w:pPr>
      <w:r>
        <w:t xml:space="preserve">16.6 Órdenes sugeridas para hiperkalemia</w:t>
      </w:r>
    </w:p>
    <w:p>
      <w:pPr>
        <w:pStyle w:val="FirstParagraph"/>
      </w:pPr>
      <w:r>
        <w:t xml:space="preserve">Hiperkalemia severa o con cambios electrocardiográficos:</w:t>
      </w:r>
    </w:p>
    <w:p>
      <w:pPr>
        <w:pStyle w:val="BodyText"/>
      </w:pPr>
      <w:r>
        <w:rPr>
          <w:b/>
          <w:bCs/>
        </w:rPr>
        <w:t xml:space="preserve">Orden médica sugerida:</w:t>
      </w:r>
      <w:r>
        <w:t xml:space="preserve"> </w:t>
      </w:r>
      <w:r>
        <w:t xml:space="preserve">tomar ECG inmediato e iniciar monitorización cardíaca continua. Suspender aportes de potasio y medicamentos hiperkalemiantes si aplica. Si hay cambios electrocardiográficos o hiperkalemia severa, administrar gluconato de calcio al 10% 10 cc IV lento en 5 a 10 minutos, repetir según ECG y criterio médico. Administrar insulina cristalina 10 unidades IV con dextrosa según glucemia y protocolo institucional. Solicitar glucometrías seriadas y potasio de control en 1 hora. Considerar beta agonista nebulizado, bicarbonato si acidosis metabólica significativa, diurético si hay diuresis y terapia de reemplazo renal si falla renal avanzada, anuria, hiperkalemia refractaria o recurrencia.</w:t>
      </w:r>
    </w:p>
    <w:p>
      <w:pPr>
        <w:pStyle w:val="BodyText"/>
      </w:pPr>
      <w:r>
        <w:t xml:space="preserve">Hiperkalemia moderada sin cambios electrocardiográficos:</w:t>
      </w:r>
    </w:p>
    <w:p>
      <w:pPr>
        <w:pStyle w:val="BodyText"/>
      </w:pPr>
      <w:r>
        <w:rPr>
          <w:b/>
          <w:bCs/>
        </w:rPr>
        <w:t xml:space="preserve">Orden médica sugerida:</w:t>
      </w:r>
      <w:r>
        <w:t xml:space="preserve"> </w:t>
      </w:r>
      <w:r>
        <w:t xml:space="preserve">suspender medicamentos hiperkalemiantes y aportes de potasio. Tomar ECG. Considerar medidas de redistribución y eliminación según nivel de potasio, función renal, diuresis y contexto clínico. Solicitar potasio de control en 2 a 4 horas si se interviene activamente, o antes si hay deterioro clínico.</w:t>
      </w:r>
    </w:p>
    <w:bookmarkEnd w:id="82"/>
    <w:bookmarkStart w:id="83" w:name="controles-de-potasio"/>
    <w:p>
      <w:pPr>
        <w:pStyle w:val="Heading3"/>
      </w:pPr>
      <w:r>
        <w:t xml:space="preserve">16.7 Controles de potasio</w:t>
      </w:r>
    </w:p>
    <w:p>
      <w:pPr>
        <w:pStyle w:val="Compact"/>
        <w:numPr>
          <w:ilvl w:val="0"/>
          <w:numId w:val="1040"/>
        </w:numPr>
      </w:pPr>
      <w:r>
        <w:t xml:space="preserve">Hiperkalemia severa: control en 1 hora posterior a intervención inicial.</w:t>
      </w:r>
    </w:p>
    <w:p>
      <w:pPr>
        <w:pStyle w:val="Compact"/>
        <w:numPr>
          <w:ilvl w:val="0"/>
          <w:numId w:val="1040"/>
        </w:numPr>
      </w:pPr>
      <w:r>
        <w:t xml:space="preserve">Hiperkalemia moderada tratada: control en 2 a 4 horas.</w:t>
      </w:r>
    </w:p>
    <w:p>
      <w:pPr>
        <w:pStyle w:val="Compact"/>
        <w:numPr>
          <w:ilvl w:val="0"/>
          <w:numId w:val="1040"/>
        </w:numPr>
      </w:pPr>
      <w:r>
        <w:t xml:space="preserve">Hipokalemia severa con reposición IV: control en 4 a 6 horas.</w:t>
      </w:r>
    </w:p>
    <w:p>
      <w:pPr>
        <w:pStyle w:val="Compact"/>
        <w:numPr>
          <w:ilvl w:val="0"/>
          <w:numId w:val="1040"/>
        </w:numPr>
      </w:pPr>
      <w:r>
        <w:t xml:space="preserve">Hipokalemia moderada: control en 6 a 12 horas.</w:t>
      </w:r>
    </w:p>
    <w:p>
      <w:pPr>
        <w:pStyle w:val="Compact"/>
        <w:numPr>
          <w:ilvl w:val="0"/>
          <w:numId w:val="1040"/>
        </w:numPr>
      </w:pPr>
      <w:r>
        <w:t xml:space="preserve">Hipokalemia leve estable: control en 24 horas.</w:t>
      </w:r>
    </w:p>
    <w:bookmarkEnd w:id="83"/>
    <w:bookmarkStart w:id="84" w:name="alertas-de-potasio"/>
    <w:p>
      <w:pPr>
        <w:pStyle w:val="Heading3"/>
      </w:pPr>
      <w:r>
        <w:t xml:space="preserve">16.8 Alertas de potasio</w:t>
      </w:r>
    </w:p>
    <w:p>
      <w:pPr>
        <w:pStyle w:val="Compact"/>
        <w:numPr>
          <w:ilvl w:val="0"/>
          <w:numId w:val="1041"/>
        </w:numPr>
      </w:pPr>
      <w:r>
        <w:t xml:space="preserve">Potasio mayor de 6.0.</w:t>
      </w:r>
    </w:p>
    <w:p>
      <w:pPr>
        <w:pStyle w:val="Compact"/>
        <w:numPr>
          <w:ilvl w:val="0"/>
          <w:numId w:val="1041"/>
        </w:numPr>
      </w:pPr>
      <w:r>
        <w:t xml:space="preserve">Cambios electrocardiográficos.</w:t>
      </w:r>
    </w:p>
    <w:p>
      <w:pPr>
        <w:pStyle w:val="Compact"/>
        <w:numPr>
          <w:ilvl w:val="0"/>
          <w:numId w:val="1041"/>
        </w:numPr>
      </w:pPr>
      <w:r>
        <w:t xml:space="preserve">QRS ancho.</w:t>
      </w:r>
    </w:p>
    <w:p>
      <w:pPr>
        <w:pStyle w:val="Compact"/>
        <w:numPr>
          <w:ilvl w:val="0"/>
          <w:numId w:val="1041"/>
        </w:numPr>
      </w:pPr>
      <w:r>
        <w:t xml:space="preserve">Bradicardia o arritmia.</w:t>
      </w:r>
    </w:p>
    <w:p>
      <w:pPr>
        <w:pStyle w:val="Compact"/>
        <w:numPr>
          <w:ilvl w:val="0"/>
          <w:numId w:val="1041"/>
        </w:numPr>
      </w:pPr>
      <w:r>
        <w:t xml:space="preserve">Falla renal avanzada.</w:t>
      </w:r>
    </w:p>
    <w:p>
      <w:pPr>
        <w:pStyle w:val="Compact"/>
        <w:numPr>
          <w:ilvl w:val="0"/>
          <w:numId w:val="1041"/>
        </w:numPr>
      </w:pPr>
      <w:r>
        <w:t xml:space="preserve">Anuria.</w:t>
      </w:r>
    </w:p>
    <w:p>
      <w:pPr>
        <w:pStyle w:val="Compact"/>
        <w:numPr>
          <w:ilvl w:val="0"/>
          <w:numId w:val="1041"/>
        </w:numPr>
      </w:pPr>
      <w:r>
        <w:t xml:space="preserve">Uso de IECA, ARA II, espironolactona o suplementos.</w:t>
      </w:r>
    </w:p>
    <w:p>
      <w:pPr>
        <w:pStyle w:val="Compact"/>
        <w:numPr>
          <w:ilvl w:val="0"/>
          <w:numId w:val="1041"/>
        </w:numPr>
      </w:pPr>
      <w:r>
        <w:t xml:space="preserve">Hipomagnesemia asociada a hipokalemia.</w:t>
      </w:r>
    </w:p>
    <w:p>
      <w:pPr>
        <w:pStyle w:val="Compact"/>
        <w:numPr>
          <w:ilvl w:val="0"/>
          <w:numId w:val="1041"/>
        </w:numPr>
      </w:pPr>
      <w:r>
        <w:t xml:space="preserve">Riesgo de hipoglucemia posterior a insulina en hiperkalemia.</w:t>
      </w:r>
    </w:p>
    <w:bookmarkEnd w:id="84"/>
    <w:bookmarkEnd w:id="85"/>
    <w:bookmarkStart w:id="90" w:name="módulo-de-magnesio"/>
    <w:p>
      <w:pPr>
        <w:pStyle w:val="Heading2"/>
      </w:pPr>
      <w:r>
        <w:t xml:space="preserve">17. Módulo de magnesio</w:t>
      </w:r>
    </w:p>
    <w:bookmarkStart w:id="86" w:name="trastornos-incluidos-2"/>
    <w:p>
      <w:pPr>
        <w:pStyle w:val="Heading3"/>
      </w:pPr>
      <w:r>
        <w:t xml:space="preserve">17.1 Trastornos incluidos</w:t>
      </w:r>
    </w:p>
    <w:p>
      <w:pPr>
        <w:pStyle w:val="Compact"/>
        <w:numPr>
          <w:ilvl w:val="0"/>
          <w:numId w:val="1042"/>
        </w:numPr>
      </w:pPr>
      <w:r>
        <w:t xml:space="preserve">Hipomagnesemia.</w:t>
      </w:r>
    </w:p>
    <w:p>
      <w:pPr>
        <w:pStyle w:val="Compact"/>
        <w:numPr>
          <w:ilvl w:val="0"/>
          <w:numId w:val="1042"/>
        </w:numPr>
      </w:pPr>
      <w:r>
        <w:t xml:space="preserve">Hipermagnesemia.</w:t>
      </w:r>
    </w:p>
    <w:bookmarkEnd w:id="86"/>
    <w:bookmarkStart w:id="87" w:name="datos-específicos-que-debe-pedir-2"/>
    <w:p>
      <w:pPr>
        <w:pStyle w:val="Heading3"/>
      </w:pPr>
      <w:r>
        <w:t xml:space="preserve">17.2 Datos específicos que debe pedir</w:t>
      </w:r>
    </w:p>
    <w:p>
      <w:pPr>
        <w:pStyle w:val="Compact"/>
        <w:numPr>
          <w:ilvl w:val="0"/>
          <w:numId w:val="1043"/>
        </w:numPr>
      </w:pPr>
      <w:r>
        <w:t xml:space="preserve">Magnesio sérico.</w:t>
      </w:r>
    </w:p>
    <w:p>
      <w:pPr>
        <w:pStyle w:val="Compact"/>
        <w:numPr>
          <w:ilvl w:val="0"/>
          <w:numId w:val="1043"/>
        </w:numPr>
      </w:pPr>
      <w:r>
        <w:t xml:space="preserve">Creatinina.</w:t>
      </w:r>
    </w:p>
    <w:p>
      <w:pPr>
        <w:pStyle w:val="Compact"/>
        <w:numPr>
          <w:ilvl w:val="0"/>
          <w:numId w:val="1043"/>
        </w:numPr>
      </w:pPr>
      <w:r>
        <w:t xml:space="preserve">TFG.</w:t>
      </w:r>
    </w:p>
    <w:p>
      <w:pPr>
        <w:pStyle w:val="Compact"/>
        <w:numPr>
          <w:ilvl w:val="0"/>
          <w:numId w:val="1043"/>
        </w:numPr>
      </w:pPr>
      <w:r>
        <w:t xml:space="preserve">Diuresis.</w:t>
      </w:r>
    </w:p>
    <w:p>
      <w:pPr>
        <w:pStyle w:val="Compact"/>
        <w:numPr>
          <w:ilvl w:val="0"/>
          <w:numId w:val="1043"/>
        </w:numPr>
      </w:pPr>
      <w:r>
        <w:t xml:space="preserve">Potasio.</w:t>
      </w:r>
    </w:p>
    <w:p>
      <w:pPr>
        <w:pStyle w:val="Compact"/>
        <w:numPr>
          <w:ilvl w:val="0"/>
          <w:numId w:val="1043"/>
        </w:numPr>
      </w:pPr>
      <w:r>
        <w:t xml:space="preserve">Calcio.</w:t>
      </w:r>
    </w:p>
    <w:p>
      <w:pPr>
        <w:pStyle w:val="Compact"/>
        <w:numPr>
          <w:ilvl w:val="0"/>
          <w:numId w:val="1043"/>
        </w:numPr>
      </w:pPr>
      <w:r>
        <w:t xml:space="preserve">QT.</w:t>
      </w:r>
    </w:p>
    <w:p>
      <w:pPr>
        <w:pStyle w:val="Compact"/>
        <w:numPr>
          <w:ilvl w:val="0"/>
          <w:numId w:val="1043"/>
        </w:numPr>
      </w:pPr>
      <w:r>
        <w:t xml:space="preserve">Arritmias.</w:t>
      </w:r>
    </w:p>
    <w:p>
      <w:pPr>
        <w:pStyle w:val="Compact"/>
        <w:numPr>
          <w:ilvl w:val="0"/>
          <w:numId w:val="1043"/>
        </w:numPr>
      </w:pPr>
      <w:r>
        <w:t xml:space="preserve">Convulsiones.</w:t>
      </w:r>
    </w:p>
    <w:p>
      <w:pPr>
        <w:pStyle w:val="Compact"/>
        <w:numPr>
          <w:ilvl w:val="0"/>
          <w:numId w:val="1043"/>
        </w:numPr>
      </w:pPr>
      <w:r>
        <w:t xml:space="preserve">Diarrea.</w:t>
      </w:r>
    </w:p>
    <w:p>
      <w:pPr>
        <w:pStyle w:val="Compact"/>
        <w:numPr>
          <w:ilvl w:val="0"/>
          <w:numId w:val="1043"/>
        </w:numPr>
      </w:pPr>
      <w:r>
        <w:t xml:space="preserve">Alcoholismo.</w:t>
      </w:r>
    </w:p>
    <w:p>
      <w:pPr>
        <w:pStyle w:val="Compact"/>
        <w:numPr>
          <w:ilvl w:val="0"/>
          <w:numId w:val="1043"/>
        </w:numPr>
      </w:pPr>
      <w:r>
        <w:t xml:space="preserve">Diuréticos.</w:t>
      </w:r>
    </w:p>
    <w:p>
      <w:pPr>
        <w:pStyle w:val="Compact"/>
        <w:numPr>
          <w:ilvl w:val="0"/>
          <w:numId w:val="1043"/>
        </w:numPr>
      </w:pPr>
      <w:r>
        <w:t xml:space="preserve">Anfotericina.</w:t>
      </w:r>
    </w:p>
    <w:p>
      <w:pPr>
        <w:pStyle w:val="Compact"/>
        <w:numPr>
          <w:ilvl w:val="0"/>
          <w:numId w:val="1043"/>
        </w:numPr>
      </w:pPr>
      <w:r>
        <w:t xml:space="preserve">Cisplatino.</w:t>
      </w:r>
    </w:p>
    <w:p>
      <w:pPr>
        <w:pStyle w:val="Compact"/>
        <w:numPr>
          <w:ilvl w:val="0"/>
          <w:numId w:val="1043"/>
        </w:numPr>
      </w:pPr>
      <w:r>
        <w:t xml:space="preserve">Inhibidores de bomba de protones.</w:t>
      </w:r>
    </w:p>
    <w:p>
      <w:pPr>
        <w:pStyle w:val="Compact"/>
        <w:numPr>
          <w:ilvl w:val="0"/>
          <w:numId w:val="1043"/>
        </w:numPr>
      </w:pPr>
      <w:r>
        <w:t xml:space="preserve">Nutrición parenteral.</w:t>
      </w:r>
    </w:p>
    <w:p>
      <w:pPr>
        <w:pStyle w:val="Compact"/>
        <w:numPr>
          <w:ilvl w:val="0"/>
          <w:numId w:val="1043"/>
        </w:numPr>
      </w:pPr>
      <w:r>
        <w:t xml:space="preserve">Preeclampsia o uso de sulfato de magnesio si aplica.</w:t>
      </w:r>
    </w:p>
    <w:bookmarkEnd w:id="87"/>
    <w:bookmarkStart w:id="88" w:name="órdenes-sugeridas"/>
    <w:p>
      <w:pPr>
        <w:pStyle w:val="Heading3"/>
      </w:pPr>
      <w:r>
        <w:t xml:space="preserve">17.3 Órdenes sugeridas</w:t>
      </w:r>
    </w:p>
    <w:p>
      <w:pPr>
        <w:pStyle w:val="FirstParagraph"/>
      </w:pPr>
      <w:r>
        <w:t xml:space="preserve">Hipomagnesemia leve asintomática:</w:t>
      </w:r>
    </w:p>
    <w:p>
      <w:pPr>
        <w:pStyle w:val="BodyText"/>
      </w:pPr>
      <w:r>
        <w:rPr>
          <w:b/>
          <w:bCs/>
        </w:rPr>
        <w:t xml:space="preserve">Orden médica sugerida:</w:t>
      </w:r>
      <w:r>
        <w:t xml:space="preserve"> </w:t>
      </w:r>
      <w:r>
        <w:t xml:space="preserve">reposición oral de magnesio según disponibilidad institucional y tolerancia gastrointestinal. Solicitar control de magnesio, potasio y calcio en 24 horas.</w:t>
      </w:r>
    </w:p>
    <w:p>
      <w:pPr>
        <w:pStyle w:val="BodyText"/>
      </w:pPr>
      <w:r>
        <w:t xml:space="preserve">Hipomagnesemia moderada o paciente hospitalizado:</w:t>
      </w:r>
    </w:p>
    <w:p>
      <w:pPr>
        <w:pStyle w:val="BodyText"/>
      </w:pPr>
      <w:r>
        <w:rPr>
          <w:b/>
          <w:bCs/>
        </w:rPr>
        <w:t xml:space="preserve">Orden médica sugerida:</w:t>
      </w:r>
      <w:r>
        <w:t xml:space="preserve"> </w:t>
      </w:r>
      <w:r>
        <w:t xml:space="preserve">sulfato de magnesio 2 gramos IV diluidos en 100 cc de solución salina 0.9%, pasar en 1 hora. Solicitar magnesio, potasio, calcio y creatinina de control en 6 a 12 horas. Ajustar si hay falla renal.</w:t>
      </w:r>
    </w:p>
    <w:p>
      <w:pPr>
        <w:pStyle w:val="BodyText"/>
      </w:pPr>
      <w:r>
        <w:t xml:space="preserve">Hipomagnesemia severa, arritmia, convulsión o QT prolongado:</w:t>
      </w:r>
    </w:p>
    <w:p>
      <w:pPr>
        <w:pStyle w:val="BodyText"/>
      </w:pPr>
      <w:r>
        <w:rPr>
          <w:b/>
          <w:bCs/>
        </w:rPr>
        <w:t xml:space="preserve">Orden médica sugerida:</w:t>
      </w:r>
      <w:r>
        <w:t xml:space="preserve"> </w:t>
      </w:r>
      <w:r>
        <w:t xml:space="preserve">sulfato de magnesio IV según protocolo institucional de urgencia, bajo monitorización cardíaca. Control de magnesio, potasio, calcio, creatinina y ECG según respuesta. Ajustar dosis si hay TFG reducida o anuria.</w:t>
      </w:r>
    </w:p>
    <w:p>
      <w:pPr>
        <w:pStyle w:val="BodyText"/>
      </w:pPr>
      <w:r>
        <w:t xml:space="preserve">Hipermagnesemia:</w:t>
      </w:r>
    </w:p>
    <w:p>
      <w:pPr>
        <w:pStyle w:val="BodyText"/>
      </w:pPr>
      <w:r>
        <w:rPr>
          <w:b/>
          <w:bCs/>
        </w:rPr>
        <w:t xml:space="preserve">Orden médica sugerida:</w:t>
      </w:r>
      <w:r>
        <w:t xml:space="preserve"> </w:t>
      </w:r>
      <w:r>
        <w:t xml:space="preserve">suspender aportes de magnesio. Monitorizar reflejos, presión arterial, frecuencia respiratoria, ECG, creatinina y diuresis. Si hay toxicidad clínica, considerar calcio IV como antagonista fisiológico y valoración por nefrología para diálisis si falla renal avanzada o hipermagnesemia severa.</w:t>
      </w:r>
    </w:p>
    <w:bookmarkEnd w:id="88"/>
    <w:bookmarkStart w:id="89" w:name="controles"/>
    <w:p>
      <w:pPr>
        <w:pStyle w:val="Heading3"/>
      </w:pPr>
      <w:r>
        <w:t xml:space="preserve">17.4 Controles</w:t>
      </w:r>
    </w:p>
    <w:p>
      <w:pPr>
        <w:pStyle w:val="Compact"/>
        <w:numPr>
          <w:ilvl w:val="0"/>
          <w:numId w:val="1044"/>
        </w:numPr>
      </w:pPr>
      <w:r>
        <w:t xml:space="preserve">Reposición IV: magnesio en 6 a 12 horas.</w:t>
      </w:r>
    </w:p>
    <w:p>
      <w:pPr>
        <w:pStyle w:val="Compact"/>
        <w:numPr>
          <w:ilvl w:val="0"/>
          <w:numId w:val="1044"/>
        </w:numPr>
      </w:pPr>
      <w:r>
        <w:t xml:space="preserve">Reposición oral estable: magnesio diario.</w:t>
      </w:r>
    </w:p>
    <w:p>
      <w:pPr>
        <w:pStyle w:val="Compact"/>
        <w:numPr>
          <w:ilvl w:val="0"/>
          <w:numId w:val="1044"/>
        </w:numPr>
      </w:pPr>
      <w:r>
        <w:t xml:space="preserve">Hipermagnesemia o falla renal: control cada 6 a 12 horas según severidad.</w:t>
      </w:r>
    </w:p>
    <w:bookmarkEnd w:id="89"/>
    <w:bookmarkEnd w:id="90"/>
    <w:bookmarkStart w:id="96" w:name="módulo-de-fósforo"/>
    <w:p>
      <w:pPr>
        <w:pStyle w:val="Heading2"/>
      </w:pPr>
      <w:r>
        <w:t xml:space="preserve">18. Módulo de fósforo</w:t>
      </w:r>
    </w:p>
    <w:bookmarkStart w:id="91" w:name="trastornos-incluidos-3"/>
    <w:p>
      <w:pPr>
        <w:pStyle w:val="Heading3"/>
      </w:pPr>
      <w:r>
        <w:t xml:space="preserve">18.1 Trastornos incluidos</w:t>
      </w:r>
    </w:p>
    <w:p>
      <w:pPr>
        <w:pStyle w:val="Compact"/>
        <w:numPr>
          <w:ilvl w:val="0"/>
          <w:numId w:val="1045"/>
        </w:numPr>
      </w:pPr>
      <w:r>
        <w:t xml:space="preserve">Hipofosfatemia.</w:t>
      </w:r>
    </w:p>
    <w:p>
      <w:pPr>
        <w:pStyle w:val="Compact"/>
        <w:numPr>
          <w:ilvl w:val="0"/>
          <w:numId w:val="1045"/>
        </w:numPr>
      </w:pPr>
      <w:r>
        <w:t xml:space="preserve">Hiperfosfatemia.</w:t>
      </w:r>
    </w:p>
    <w:bookmarkEnd w:id="91"/>
    <w:bookmarkStart w:id="92" w:name="datos-específicos-que-debe-pedir-3"/>
    <w:p>
      <w:pPr>
        <w:pStyle w:val="Heading3"/>
      </w:pPr>
      <w:r>
        <w:t xml:space="preserve">18.2 Datos específicos que debe pedir</w:t>
      </w:r>
    </w:p>
    <w:p>
      <w:pPr>
        <w:pStyle w:val="Compact"/>
        <w:numPr>
          <w:ilvl w:val="0"/>
          <w:numId w:val="1046"/>
        </w:numPr>
      </w:pPr>
      <w:r>
        <w:t xml:space="preserve">Fósforo sérico.</w:t>
      </w:r>
    </w:p>
    <w:p>
      <w:pPr>
        <w:pStyle w:val="Compact"/>
        <w:numPr>
          <w:ilvl w:val="0"/>
          <w:numId w:val="1046"/>
        </w:numPr>
      </w:pPr>
      <w:r>
        <w:t xml:space="preserve">Calcio.</w:t>
      </w:r>
    </w:p>
    <w:p>
      <w:pPr>
        <w:pStyle w:val="Compact"/>
        <w:numPr>
          <w:ilvl w:val="0"/>
          <w:numId w:val="1046"/>
        </w:numPr>
      </w:pPr>
      <w:r>
        <w:t xml:space="preserve">Magnesio.</w:t>
      </w:r>
    </w:p>
    <w:p>
      <w:pPr>
        <w:pStyle w:val="Compact"/>
        <w:numPr>
          <w:ilvl w:val="0"/>
          <w:numId w:val="1046"/>
        </w:numPr>
      </w:pPr>
      <w:r>
        <w:t xml:space="preserve">Potasio.</w:t>
      </w:r>
    </w:p>
    <w:p>
      <w:pPr>
        <w:pStyle w:val="Compact"/>
        <w:numPr>
          <w:ilvl w:val="0"/>
          <w:numId w:val="1046"/>
        </w:numPr>
      </w:pPr>
      <w:r>
        <w:t xml:space="preserve">Creatinina.</w:t>
      </w:r>
    </w:p>
    <w:p>
      <w:pPr>
        <w:pStyle w:val="Compact"/>
        <w:numPr>
          <w:ilvl w:val="0"/>
          <w:numId w:val="1046"/>
        </w:numPr>
      </w:pPr>
      <w:r>
        <w:t xml:space="preserve">TFG.</w:t>
      </w:r>
    </w:p>
    <w:p>
      <w:pPr>
        <w:pStyle w:val="Compact"/>
        <w:numPr>
          <w:ilvl w:val="0"/>
          <w:numId w:val="1046"/>
        </w:numPr>
      </w:pPr>
      <w:r>
        <w:t xml:space="preserve">Diuresis.</w:t>
      </w:r>
    </w:p>
    <w:p>
      <w:pPr>
        <w:pStyle w:val="Compact"/>
        <w:numPr>
          <w:ilvl w:val="0"/>
          <w:numId w:val="1046"/>
        </w:numPr>
      </w:pPr>
      <w:r>
        <w:t xml:space="preserve">Nutrición.</w:t>
      </w:r>
    </w:p>
    <w:p>
      <w:pPr>
        <w:pStyle w:val="Compact"/>
        <w:numPr>
          <w:ilvl w:val="0"/>
          <w:numId w:val="1046"/>
        </w:numPr>
      </w:pPr>
      <w:r>
        <w:t xml:space="preserve">Riesgo de realimentación.</w:t>
      </w:r>
    </w:p>
    <w:p>
      <w:pPr>
        <w:pStyle w:val="Compact"/>
        <w:numPr>
          <w:ilvl w:val="0"/>
          <w:numId w:val="1046"/>
        </w:numPr>
      </w:pPr>
      <w:r>
        <w:t xml:space="preserve">Alcoholismo.</w:t>
      </w:r>
    </w:p>
    <w:p>
      <w:pPr>
        <w:pStyle w:val="Compact"/>
        <w:numPr>
          <w:ilvl w:val="0"/>
          <w:numId w:val="1046"/>
        </w:numPr>
      </w:pPr>
      <w:r>
        <w:t xml:space="preserve">Ventilación mecánica.</w:t>
      </w:r>
    </w:p>
    <w:p>
      <w:pPr>
        <w:pStyle w:val="Compact"/>
        <w:numPr>
          <w:ilvl w:val="0"/>
          <w:numId w:val="1046"/>
        </w:numPr>
      </w:pPr>
      <w:r>
        <w:t xml:space="preserve">Debilidad muscular.</w:t>
      </w:r>
    </w:p>
    <w:p>
      <w:pPr>
        <w:pStyle w:val="Compact"/>
        <w:numPr>
          <w:ilvl w:val="0"/>
          <w:numId w:val="1046"/>
        </w:numPr>
      </w:pPr>
      <w:r>
        <w:t xml:space="preserve">Rabdomiólisis.</w:t>
      </w:r>
    </w:p>
    <w:p>
      <w:pPr>
        <w:pStyle w:val="Compact"/>
        <w:numPr>
          <w:ilvl w:val="0"/>
          <w:numId w:val="1046"/>
        </w:numPr>
      </w:pPr>
      <w:r>
        <w:t xml:space="preserve">Cetoacidosis.</w:t>
      </w:r>
    </w:p>
    <w:p>
      <w:pPr>
        <w:pStyle w:val="Compact"/>
        <w:numPr>
          <w:ilvl w:val="0"/>
          <w:numId w:val="1046"/>
        </w:numPr>
      </w:pPr>
      <w:r>
        <w:t xml:space="preserve">Sepsis.</w:t>
      </w:r>
    </w:p>
    <w:p>
      <w:pPr>
        <w:pStyle w:val="Compact"/>
        <w:numPr>
          <w:ilvl w:val="0"/>
          <w:numId w:val="1046"/>
        </w:numPr>
      </w:pPr>
      <w:r>
        <w:t xml:space="preserve">Nutrición parenteral.</w:t>
      </w:r>
    </w:p>
    <w:p>
      <w:pPr>
        <w:pStyle w:val="Compact"/>
        <w:numPr>
          <w:ilvl w:val="0"/>
          <w:numId w:val="1046"/>
        </w:numPr>
      </w:pPr>
      <w:r>
        <w:t xml:space="preserve">Quelantes de fósforo.</w:t>
      </w:r>
    </w:p>
    <w:bookmarkEnd w:id="92"/>
    <w:bookmarkStart w:id="93" w:name="clasificación-funcional"/>
    <w:p>
      <w:pPr>
        <w:pStyle w:val="Heading3"/>
      </w:pPr>
      <w:r>
        <w:t xml:space="preserve">18.3 Clasificación funcional</w:t>
      </w:r>
    </w:p>
    <w:p>
      <w:pPr>
        <w:pStyle w:val="Compact"/>
        <w:numPr>
          <w:ilvl w:val="0"/>
          <w:numId w:val="1047"/>
        </w:numPr>
      </w:pPr>
      <w:r>
        <w:t xml:space="preserve">Hipofosfatemia leve.</w:t>
      </w:r>
    </w:p>
    <w:p>
      <w:pPr>
        <w:pStyle w:val="Compact"/>
        <w:numPr>
          <w:ilvl w:val="0"/>
          <w:numId w:val="1047"/>
        </w:numPr>
      </w:pPr>
      <w:r>
        <w:t xml:space="preserve">Hipofosfatemia moderada.</w:t>
      </w:r>
    </w:p>
    <w:p>
      <w:pPr>
        <w:pStyle w:val="Compact"/>
        <w:numPr>
          <w:ilvl w:val="0"/>
          <w:numId w:val="1047"/>
        </w:numPr>
      </w:pPr>
      <w:r>
        <w:t xml:space="preserve">Hipofosfatemia severa, especialmente si menor de 1 mg/dL o sintomática.</w:t>
      </w:r>
    </w:p>
    <w:p>
      <w:pPr>
        <w:pStyle w:val="FirstParagraph"/>
      </w:pPr>
      <w:r>
        <w:t xml:space="preserve">Los rangos deben ser configurables.</w:t>
      </w:r>
    </w:p>
    <w:bookmarkEnd w:id="93"/>
    <w:bookmarkStart w:id="94" w:name="órdenes-sugeridas-para-hipofosfatemia"/>
    <w:p>
      <w:pPr>
        <w:pStyle w:val="Heading3"/>
      </w:pPr>
      <w:r>
        <w:t xml:space="preserve">18.4 Órdenes sugeridas para hipofosfatemia</w:t>
      </w:r>
    </w:p>
    <w:p>
      <w:pPr>
        <w:pStyle w:val="FirstParagraph"/>
      </w:pPr>
      <w:r>
        <w:t xml:space="preserve">Hipofosfatemia leve o moderada con vía oral:</w:t>
      </w:r>
    </w:p>
    <w:p>
      <w:pPr>
        <w:pStyle w:val="BodyText"/>
      </w:pPr>
      <w:r>
        <w:rPr>
          <w:b/>
          <w:bCs/>
        </w:rPr>
        <w:t xml:space="preserve">Orden médica sugerida:</w:t>
      </w:r>
      <w:r>
        <w:t xml:space="preserve"> </w:t>
      </w:r>
      <w:r>
        <w:t xml:space="preserve">reposición oral de fósforo según disponibilidad institucional y tolerancia oral. Solicitar fósforo, calcio, potasio, magnesio y creatinina de control en 24 horas.</w:t>
      </w:r>
    </w:p>
    <w:p>
      <w:pPr>
        <w:pStyle w:val="BodyText"/>
      </w:pPr>
      <w:r>
        <w:t xml:space="preserve">Hipofosfatemia severa o sintomática:</w:t>
      </w:r>
    </w:p>
    <w:p>
      <w:pPr>
        <w:pStyle w:val="BodyText"/>
      </w:pPr>
      <w:r>
        <w:rPr>
          <w:b/>
          <w:bCs/>
        </w:rPr>
        <w:t xml:space="preserve">Orden médica sugerida:</w:t>
      </w:r>
      <w:r>
        <w:t xml:space="preserve"> </w:t>
      </w:r>
      <w:r>
        <w:t xml:space="preserve">considerar reposición intravenosa de fosfato según peso, severidad, función renal y protocolo institucional. Administrar bajo monitorización y solicitar fósforo, calcio, potasio, magnesio y creatinina de control en 6 a 12 horas. Vigilar hipocalcemia y calcificación metastásica si producto calcio fósforo elevado.</w:t>
      </w:r>
    </w:p>
    <w:bookmarkEnd w:id="94"/>
    <w:bookmarkStart w:id="95" w:name="hiperfosfatemia"/>
    <w:p>
      <w:pPr>
        <w:pStyle w:val="Heading3"/>
      </w:pPr>
      <w:r>
        <w:t xml:space="preserve">18.5 Hiperfosfatemia</w:t>
      </w:r>
    </w:p>
    <w:p>
      <w:pPr>
        <w:pStyle w:val="FirstParagraph"/>
      </w:pPr>
      <w:r>
        <w:rPr>
          <w:b/>
          <w:bCs/>
        </w:rPr>
        <w:t xml:space="preserve">Orden médica sugerida:</w:t>
      </w:r>
      <w:r>
        <w:t xml:space="preserve"> </w:t>
      </w:r>
      <w:r>
        <w:t xml:space="preserve">identificar causa, revisar función renal, suspender aportes de fósforo si aplica, ajustar nutrición, considerar quelantes según contexto y protocolo institucional. Valorar nefrología si hay falla renal avanzada, hiperfosfatemia severa o producto calcio fósforo elevado.</w:t>
      </w:r>
    </w:p>
    <w:bookmarkEnd w:id="95"/>
    <w:bookmarkEnd w:id="96"/>
    <w:bookmarkStart w:id="101" w:name="módulo-de-calcio"/>
    <w:p>
      <w:pPr>
        <w:pStyle w:val="Heading2"/>
      </w:pPr>
      <w:r>
        <w:t xml:space="preserve">19. Módulo de calcio</w:t>
      </w:r>
    </w:p>
    <w:bookmarkStart w:id="97" w:name="trastornos-incluidos-4"/>
    <w:p>
      <w:pPr>
        <w:pStyle w:val="Heading3"/>
      </w:pPr>
      <w:r>
        <w:t xml:space="preserve">19.1 Trastornos incluidos</w:t>
      </w:r>
    </w:p>
    <w:p>
      <w:pPr>
        <w:pStyle w:val="Compact"/>
        <w:numPr>
          <w:ilvl w:val="0"/>
          <w:numId w:val="1048"/>
        </w:numPr>
      </w:pPr>
      <w:r>
        <w:t xml:space="preserve">Hipocalcemia.</w:t>
      </w:r>
    </w:p>
    <w:p>
      <w:pPr>
        <w:pStyle w:val="Compact"/>
        <w:numPr>
          <w:ilvl w:val="0"/>
          <w:numId w:val="1048"/>
        </w:numPr>
      </w:pPr>
      <w:r>
        <w:t xml:space="preserve">Hipercalcemia.</w:t>
      </w:r>
    </w:p>
    <w:p>
      <w:pPr>
        <w:pStyle w:val="Compact"/>
        <w:numPr>
          <w:ilvl w:val="0"/>
          <w:numId w:val="1048"/>
        </w:numPr>
      </w:pPr>
      <w:r>
        <w:t xml:space="preserve">Hipercalcemia maligna.</w:t>
      </w:r>
    </w:p>
    <w:bookmarkEnd w:id="97"/>
    <w:bookmarkStart w:id="98" w:name="datos-específicos-que-debe-pedir-4"/>
    <w:p>
      <w:pPr>
        <w:pStyle w:val="Heading3"/>
      </w:pPr>
      <w:r>
        <w:t xml:space="preserve">19.2 Datos específicos que debe pedir</w:t>
      </w:r>
    </w:p>
    <w:p>
      <w:pPr>
        <w:pStyle w:val="Compact"/>
        <w:numPr>
          <w:ilvl w:val="0"/>
          <w:numId w:val="1049"/>
        </w:numPr>
      </w:pPr>
      <w:r>
        <w:t xml:space="preserve">Calcio total.</w:t>
      </w:r>
    </w:p>
    <w:p>
      <w:pPr>
        <w:pStyle w:val="Compact"/>
        <w:numPr>
          <w:ilvl w:val="0"/>
          <w:numId w:val="1049"/>
        </w:numPr>
      </w:pPr>
      <w:r>
        <w:t xml:space="preserve">Calcio ionizado.</w:t>
      </w:r>
    </w:p>
    <w:p>
      <w:pPr>
        <w:pStyle w:val="Compact"/>
        <w:numPr>
          <w:ilvl w:val="0"/>
          <w:numId w:val="1049"/>
        </w:numPr>
      </w:pPr>
      <w:r>
        <w:t xml:space="preserve">Albúmina.</w:t>
      </w:r>
    </w:p>
    <w:p>
      <w:pPr>
        <w:pStyle w:val="Compact"/>
        <w:numPr>
          <w:ilvl w:val="0"/>
          <w:numId w:val="1049"/>
        </w:numPr>
      </w:pPr>
      <w:r>
        <w:t xml:space="preserve">Magnesio.</w:t>
      </w:r>
    </w:p>
    <w:p>
      <w:pPr>
        <w:pStyle w:val="Compact"/>
        <w:numPr>
          <w:ilvl w:val="0"/>
          <w:numId w:val="1049"/>
        </w:numPr>
      </w:pPr>
      <w:r>
        <w:t xml:space="preserve">Fósforo.</w:t>
      </w:r>
    </w:p>
    <w:p>
      <w:pPr>
        <w:pStyle w:val="Compact"/>
        <w:numPr>
          <w:ilvl w:val="0"/>
          <w:numId w:val="1049"/>
        </w:numPr>
      </w:pPr>
      <w:r>
        <w:t xml:space="preserve">Creatinina.</w:t>
      </w:r>
    </w:p>
    <w:p>
      <w:pPr>
        <w:pStyle w:val="Compact"/>
        <w:numPr>
          <w:ilvl w:val="0"/>
          <w:numId w:val="1049"/>
        </w:numPr>
      </w:pPr>
      <w:r>
        <w:t xml:space="preserve">TFG.</w:t>
      </w:r>
    </w:p>
    <w:p>
      <w:pPr>
        <w:pStyle w:val="Compact"/>
        <w:numPr>
          <w:ilvl w:val="0"/>
          <w:numId w:val="1049"/>
        </w:numPr>
      </w:pPr>
      <w:r>
        <w:t xml:space="preserve">PTH.</w:t>
      </w:r>
    </w:p>
    <w:p>
      <w:pPr>
        <w:pStyle w:val="Compact"/>
        <w:numPr>
          <w:ilvl w:val="0"/>
          <w:numId w:val="1049"/>
        </w:numPr>
      </w:pPr>
      <w:r>
        <w:t xml:space="preserve">Vitamina D.</w:t>
      </w:r>
    </w:p>
    <w:p>
      <w:pPr>
        <w:pStyle w:val="Compact"/>
        <w:numPr>
          <w:ilvl w:val="0"/>
          <w:numId w:val="1049"/>
        </w:numPr>
      </w:pPr>
      <w:r>
        <w:t xml:space="preserve">ECG.</w:t>
      </w:r>
    </w:p>
    <w:p>
      <w:pPr>
        <w:pStyle w:val="Compact"/>
        <w:numPr>
          <w:ilvl w:val="0"/>
          <w:numId w:val="1049"/>
        </w:numPr>
      </w:pPr>
      <w:r>
        <w:t xml:space="preserve">QT.</w:t>
      </w:r>
    </w:p>
    <w:p>
      <w:pPr>
        <w:pStyle w:val="Compact"/>
        <w:numPr>
          <w:ilvl w:val="0"/>
          <w:numId w:val="1049"/>
        </w:numPr>
      </w:pPr>
      <w:r>
        <w:t xml:space="preserve">Síntomas neuromusculares.</w:t>
      </w:r>
    </w:p>
    <w:p>
      <w:pPr>
        <w:pStyle w:val="Compact"/>
        <w:numPr>
          <w:ilvl w:val="0"/>
          <w:numId w:val="1049"/>
        </w:numPr>
      </w:pPr>
      <w:r>
        <w:t xml:space="preserve">Convulsiones.</w:t>
      </w:r>
    </w:p>
    <w:p>
      <w:pPr>
        <w:pStyle w:val="Compact"/>
        <w:numPr>
          <w:ilvl w:val="0"/>
          <w:numId w:val="1049"/>
        </w:numPr>
      </w:pPr>
      <w:r>
        <w:t xml:space="preserve">Pancreatitis.</w:t>
      </w:r>
    </w:p>
    <w:p>
      <w:pPr>
        <w:pStyle w:val="Compact"/>
        <w:numPr>
          <w:ilvl w:val="0"/>
          <w:numId w:val="1049"/>
        </w:numPr>
      </w:pPr>
      <w:r>
        <w:t xml:space="preserve">Malignidad.</w:t>
      </w:r>
    </w:p>
    <w:p>
      <w:pPr>
        <w:pStyle w:val="Compact"/>
        <w:numPr>
          <w:ilvl w:val="0"/>
          <w:numId w:val="1049"/>
        </w:numPr>
      </w:pPr>
      <w:r>
        <w:t xml:space="preserve">Tiroidectomía o paratiroidectomía reciente.</w:t>
      </w:r>
    </w:p>
    <w:p>
      <w:pPr>
        <w:pStyle w:val="Compact"/>
        <w:numPr>
          <w:ilvl w:val="0"/>
          <w:numId w:val="1049"/>
        </w:numPr>
      </w:pPr>
      <w:r>
        <w:t xml:space="preserve">Uso de bisfosfonatos.</w:t>
      </w:r>
    </w:p>
    <w:p>
      <w:pPr>
        <w:pStyle w:val="Compact"/>
        <w:numPr>
          <w:ilvl w:val="0"/>
          <w:numId w:val="1049"/>
        </w:numPr>
      </w:pPr>
      <w:r>
        <w:t xml:space="preserve">Uso de denosumab.</w:t>
      </w:r>
    </w:p>
    <w:p>
      <w:pPr>
        <w:pStyle w:val="Compact"/>
        <w:numPr>
          <w:ilvl w:val="0"/>
          <w:numId w:val="1049"/>
        </w:numPr>
      </w:pPr>
      <w:r>
        <w:t xml:space="preserve">Uso de vitamina D.</w:t>
      </w:r>
    </w:p>
    <w:p>
      <w:pPr>
        <w:pStyle w:val="Compact"/>
        <w:numPr>
          <w:ilvl w:val="0"/>
          <w:numId w:val="1049"/>
        </w:numPr>
      </w:pPr>
      <w:r>
        <w:t xml:space="preserve">Uso de calcio.</w:t>
      </w:r>
    </w:p>
    <w:bookmarkEnd w:id="98"/>
    <w:bookmarkStart w:id="99" w:name="hipocalcemia"/>
    <w:p>
      <w:pPr>
        <w:pStyle w:val="Heading3"/>
      </w:pPr>
      <w:r>
        <w:t xml:space="preserve">19.3 Hipocalcemia</w:t>
      </w:r>
    </w:p>
    <w:p>
      <w:pPr>
        <w:pStyle w:val="FirstParagraph"/>
      </w:pPr>
      <w:r>
        <w:t xml:space="preserve">Hipocalcemia leve asintomática:</w:t>
      </w:r>
    </w:p>
    <w:p>
      <w:pPr>
        <w:pStyle w:val="BodyText"/>
      </w:pPr>
      <w:r>
        <w:rPr>
          <w:b/>
          <w:bCs/>
        </w:rPr>
        <w:t xml:space="preserve">Orden médica sugerida:</w:t>
      </w:r>
      <w:r>
        <w:t xml:space="preserve"> </w:t>
      </w:r>
      <w:r>
        <w:t xml:space="preserve">calcio oral según disponibilidad institucional, evaluar vitamina D, magnesio, fósforo y PTH según contexto. Solicitar calcio corregido o ionizado de control en 24 horas.</w:t>
      </w:r>
    </w:p>
    <w:p>
      <w:pPr>
        <w:pStyle w:val="BodyText"/>
      </w:pPr>
      <w:r>
        <w:t xml:space="preserve">Hipocalcemia sintomática:</w:t>
      </w:r>
    </w:p>
    <w:p>
      <w:pPr>
        <w:pStyle w:val="BodyText"/>
      </w:pPr>
      <w:r>
        <w:rPr>
          <w:b/>
          <w:bCs/>
        </w:rPr>
        <w:t xml:space="preserve">Orden médica sugerida:</w:t>
      </w:r>
      <w:r>
        <w:t xml:space="preserve"> </w:t>
      </w:r>
      <w:r>
        <w:t xml:space="preserve">gluconato de calcio al 10% 10 cc IV lento en 10 minutos bajo monitorización, especialmente si hay tetania, convulsiones, QT prolongado, laringoespasmo o síntomas neuromusculares importantes. Solicitar calcio ionizado, magnesio, fósforo, creatinina, PTH y vitamina D según contexto. Continuar con reposición oral o infusión según respuesta clínica y control de calcio.</w:t>
      </w:r>
    </w:p>
    <w:bookmarkEnd w:id="99"/>
    <w:bookmarkStart w:id="100" w:name="hipercalcemia-no-maligna"/>
    <w:p>
      <w:pPr>
        <w:pStyle w:val="Heading3"/>
      </w:pPr>
      <w:r>
        <w:t xml:space="preserve">19.4 Hipercalcemia no maligna</w:t>
      </w:r>
    </w:p>
    <w:p>
      <w:pPr>
        <w:pStyle w:val="FirstParagraph"/>
      </w:pPr>
      <w:r>
        <w:t xml:space="preserve">Hipercalcemia leve:</w:t>
      </w:r>
    </w:p>
    <w:p>
      <w:pPr>
        <w:pStyle w:val="BodyText"/>
      </w:pPr>
      <w:r>
        <w:rPr>
          <w:b/>
          <w:bCs/>
        </w:rPr>
        <w:t xml:space="preserve">Orden médica sugerida:</w:t>
      </w:r>
      <w:r>
        <w:t xml:space="preserve"> </w:t>
      </w:r>
      <w:r>
        <w:t xml:space="preserve">suspender aportes de calcio, vitamina D y tiazidas si aplica. Asegurar hidratación oral o IV según estado clínico. Solicitar calcio corregido o ionizado, creatinina, fósforo, magnesio y PTH según contexto.</w:t>
      </w:r>
    </w:p>
    <w:p>
      <w:pPr>
        <w:pStyle w:val="BodyText"/>
      </w:pPr>
      <w:r>
        <w:t xml:space="preserve">Hipercalcemia moderada o severa:</w:t>
      </w:r>
    </w:p>
    <w:p>
      <w:pPr>
        <w:pStyle w:val="BodyText"/>
      </w:pPr>
      <w:r>
        <w:rPr>
          <w:b/>
          <w:bCs/>
        </w:rPr>
        <w:t xml:space="preserve">Orden médica sugerida:</w:t>
      </w:r>
      <w:r>
        <w:t xml:space="preserve"> </w:t>
      </w:r>
      <w:r>
        <w:t xml:space="preserve">hidratación intravenosa con solución salina 0.9% a velocidad específica según volemia, función renal, falla cardiaca y riesgo de sobrecarga. Solicitar calcio, creatinina, fósforo, magnesio, potasio, sodio y ECG. Considerar tratamiento específico según etiología.</w:t>
      </w:r>
    </w:p>
    <w:bookmarkEnd w:id="100"/>
    <w:bookmarkEnd w:id="101"/>
    <w:bookmarkStart w:id="110" w:name="módulo-especial-de-hipercalcemia-maligna"/>
    <w:p>
      <w:pPr>
        <w:pStyle w:val="Heading2"/>
      </w:pPr>
      <w:r>
        <w:t xml:space="preserve">20. Módulo especial de hipercalcemia maligna</w:t>
      </w:r>
    </w:p>
    <w:bookmarkStart w:id="102" w:name="activación-del-módulo"/>
    <w:p>
      <w:pPr>
        <w:pStyle w:val="Heading3"/>
      </w:pPr>
      <w:r>
        <w:t xml:space="preserve">20.1 Activación del módulo</w:t>
      </w:r>
    </w:p>
    <w:p>
      <w:pPr>
        <w:pStyle w:val="FirstParagraph"/>
      </w:pPr>
      <w:r>
        <w:t xml:space="preserve">El módulo debe activarse si el médico marca cualquiera de estas condiciones:</w:t>
      </w:r>
    </w:p>
    <w:p>
      <w:pPr>
        <w:pStyle w:val="Compact"/>
        <w:numPr>
          <w:ilvl w:val="0"/>
          <w:numId w:val="1050"/>
        </w:numPr>
      </w:pPr>
      <w:r>
        <w:t xml:space="preserve">Cáncer activo.</w:t>
      </w:r>
    </w:p>
    <w:p>
      <w:pPr>
        <w:pStyle w:val="Compact"/>
        <w:numPr>
          <w:ilvl w:val="0"/>
          <w:numId w:val="1050"/>
        </w:numPr>
      </w:pPr>
      <w:r>
        <w:t xml:space="preserve">Cáncer metastásico.</w:t>
      </w:r>
    </w:p>
    <w:p>
      <w:pPr>
        <w:pStyle w:val="Compact"/>
        <w:numPr>
          <w:ilvl w:val="0"/>
          <w:numId w:val="1050"/>
        </w:numPr>
      </w:pPr>
      <w:r>
        <w:t xml:space="preserve">Mieloma múltiple.</w:t>
      </w:r>
    </w:p>
    <w:p>
      <w:pPr>
        <w:pStyle w:val="Compact"/>
        <w:numPr>
          <w:ilvl w:val="0"/>
          <w:numId w:val="1050"/>
        </w:numPr>
      </w:pPr>
      <w:r>
        <w:t xml:space="preserve">Linfoma.</w:t>
      </w:r>
    </w:p>
    <w:p>
      <w:pPr>
        <w:pStyle w:val="Compact"/>
        <w:numPr>
          <w:ilvl w:val="0"/>
          <w:numId w:val="1050"/>
        </w:numPr>
      </w:pPr>
      <w:r>
        <w:t xml:space="preserve">Leucemia.</w:t>
      </w:r>
    </w:p>
    <w:p>
      <w:pPr>
        <w:pStyle w:val="Compact"/>
        <w:numPr>
          <w:ilvl w:val="0"/>
          <w:numId w:val="1050"/>
        </w:numPr>
      </w:pPr>
      <w:r>
        <w:t xml:space="preserve">Metástasis óseas.</w:t>
      </w:r>
    </w:p>
    <w:p>
      <w:pPr>
        <w:pStyle w:val="Compact"/>
        <w:numPr>
          <w:ilvl w:val="0"/>
          <w:numId w:val="1050"/>
        </w:numPr>
      </w:pPr>
      <w:r>
        <w:t xml:space="preserve">Hipercalcemia maligna previa.</w:t>
      </w:r>
    </w:p>
    <w:p>
      <w:pPr>
        <w:pStyle w:val="Compact"/>
        <w:numPr>
          <w:ilvl w:val="0"/>
          <w:numId w:val="1050"/>
        </w:numPr>
      </w:pPr>
      <w:r>
        <w:t xml:space="preserve">Sospecha clínica de malignidad.</w:t>
      </w:r>
    </w:p>
    <w:p>
      <w:pPr>
        <w:pStyle w:val="Compact"/>
        <w:numPr>
          <w:ilvl w:val="0"/>
          <w:numId w:val="1050"/>
        </w:numPr>
      </w:pPr>
      <w:r>
        <w:t xml:space="preserve">Calcio severamente elevado sin causa clara.</w:t>
      </w:r>
    </w:p>
    <w:bookmarkEnd w:id="102"/>
    <w:bookmarkStart w:id="103" w:name="datos-adicionales-requeridos"/>
    <w:p>
      <w:pPr>
        <w:pStyle w:val="Heading3"/>
      </w:pPr>
      <w:r>
        <w:t xml:space="preserve">20.2 Datos adicionales requeridos</w:t>
      </w:r>
    </w:p>
    <w:p>
      <w:pPr>
        <w:pStyle w:val="Compact"/>
        <w:numPr>
          <w:ilvl w:val="0"/>
          <w:numId w:val="1051"/>
        </w:numPr>
      </w:pPr>
      <w:r>
        <w:t xml:space="preserve">Tipo de cáncer.</w:t>
      </w:r>
    </w:p>
    <w:p>
      <w:pPr>
        <w:pStyle w:val="Compact"/>
        <w:numPr>
          <w:ilvl w:val="0"/>
          <w:numId w:val="1051"/>
        </w:numPr>
      </w:pPr>
      <w:r>
        <w:t xml:space="preserve">Presencia de metástasis óseas.</w:t>
      </w:r>
    </w:p>
    <w:p>
      <w:pPr>
        <w:pStyle w:val="Compact"/>
        <w:numPr>
          <w:ilvl w:val="0"/>
          <w:numId w:val="1051"/>
        </w:numPr>
      </w:pPr>
      <w:r>
        <w:t xml:space="preserve">Mieloma múltiple.</w:t>
      </w:r>
    </w:p>
    <w:p>
      <w:pPr>
        <w:pStyle w:val="Compact"/>
        <w:numPr>
          <w:ilvl w:val="0"/>
          <w:numId w:val="1051"/>
        </w:numPr>
      </w:pPr>
      <w:r>
        <w:t xml:space="preserve">Linfoma.</w:t>
      </w:r>
    </w:p>
    <w:p>
      <w:pPr>
        <w:pStyle w:val="Compact"/>
        <w:numPr>
          <w:ilvl w:val="0"/>
          <w:numId w:val="1051"/>
        </w:numPr>
      </w:pPr>
      <w:r>
        <w:t xml:space="preserve">Síntomas neurológicos.</w:t>
      </w:r>
    </w:p>
    <w:p>
      <w:pPr>
        <w:pStyle w:val="Compact"/>
        <w:numPr>
          <w:ilvl w:val="0"/>
          <w:numId w:val="1051"/>
        </w:numPr>
      </w:pPr>
      <w:r>
        <w:t xml:space="preserve">Síntomas digestivos.</w:t>
      </w:r>
    </w:p>
    <w:p>
      <w:pPr>
        <w:pStyle w:val="Compact"/>
        <w:numPr>
          <w:ilvl w:val="0"/>
          <w:numId w:val="1051"/>
        </w:numPr>
      </w:pPr>
      <w:r>
        <w:t xml:space="preserve">Síntomas renales.</w:t>
      </w:r>
    </w:p>
    <w:p>
      <w:pPr>
        <w:pStyle w:val="Compact"/>
        <w:numPr>
          <w:ilvl w:val="0"/>
          <w:numId w:val="1051"/>
        </w:numPr>
      </w:pPr>
      <w:r>
        <w:t xml:space="preserve">Síntomas cardiovasculares.</w:t>
      </w:r>
    </w:p>
    <w:p>
      <w:pPr>
        <w:pStyle w:val="Compact"/>
        <w:numPr>
          <w:ilvl w:val="0"/>
          <w:numId w:val="1051"/>
        </w:numPr>
      </w:pPr>
      <w:r>
        <w:t xml:space="preserve">Estado de volemia.</w:t>
      </w:r>
    </w:p>
    <w:p>
      <w:pPr>
        <w:pStyle w:val="Compact"/>
        <w:numPr>
          <w:ilvl w:val="0"/>
          <w:numId w:val="1051"/>
        </w:numPr>
      </w:pPr>
      <w:r>
        <w:t xml:space="preserve">Diuresis.</w:t>
      </w:r>
    </w:p>
    <w:p>
      <w:pPr>
        <w:pStyle w:val="Compact"/>
        <w:numPr>
          <w:ilvl w:val="0"/>
          <w:numId w:val="1051"/>
        </w:numPr>
      </w:pPr>
      <w:r>
        <w:t xml:space="preserve">Riesgo de sobrecarga.</w:t>
      </w:r>
    </w:p>
    <w:p>
      <w:pPr>
        <w:pStyle w:val="Compact"/>
        <w:numPr>
          <w:ilvl w:val="0"/>
          <w:numId w:val="1051"/>
        </w:numPr>
      </w:pPr>
      <w:r>
        <w:t xml:space="preserve">TFG.</w:t>
      </w:r>
    </w:p>
    <w:p>
      <w:pPr>
        <w:pStyle w:val="Compact"/>
        <w:numPr>
          <w:ilvl w:val="0"/>
          <w:numId w:val="1051"/>
        </w:numPr>
      </w:pPr>
      <w:r>
        <w:t xml:space="preserve">Uso previo de denosumab.</w:t>
      </w:r>
    </w:p>
    <w:p>
      <w:pPr>
        <w:pStyle w:val="Compact"/>
        <w:numPr>
          <w:ilvl w:val="0"/>
          <w:numId w:val="1051"/>
        </w:numPr>
      </w:pPr>
      <w:r>
        <w:t xml:space="preserve">Uso previo de ácido zoledrónico.</w:t>
      </w:r>
    </w:p>
    <w:p>
      <w:pPr>
        <w:pStyle w:val="Compact"/>
        <w:numPr>
          <w:ilvl w:val="0"/>
          <w:numId w:val="1051"/>
        </w:numPr>
      </w:pPr>
      <w:r>
        <w:t xml:space="preserve">Uso previo de pamidronato.</w:t>
      </w:r>
    </w:p>
    <w:p>
      <w:pPr>
        <w:pStyle w:val="Compact"/>
        <w:numPr>
          <w:ilvl w:val="0"/>
          <w:numId w:val="1051"/>
        </w:numPr>
      </w:pPr>
      <w:r>
        <w:t xml:space="preserve">Fecha de última dosis antiresortiva.</w:t>
      </w:r>
    </w:p>
    <w:p>
      <w:pPr>
        <w:pStyle w:val="Compact"/>
        <w:numPr>
          <w:ilvl w:val="0"/>
          <w:numId w:val="1051"/>
        </w:numPr>
      </w:pPr>
      <w:r>
        <w:t xml:space="preserve">PTH.</w:t>
      </w:r>
    </w:p>
    <w:p>
      <w:pPr>
        <w:pStyle w:val="Compact"/>
        <w:numPr>
          <w:ilvl w:val="0"/>
          <w:numId w:val="1051"/>
        </w:numPr>
      </w:pPr>
      <w:r>
        <w:t xml:space="preserve">PTHrP si está disponible.</w:t>
      </w:r>
    </w:p>
    <w:p>
      <w:pPr>
        <w:pStyle w:val="Compact"/>
        <w:numPr>
          <w:ilvl w:val="0"/>
          <w:numId w:val="1051"/>
        </w:numPr>
      </w:pPr>
      <w:r>
        <w:t xml:space="preserve">25 OH vitamina D.</w:t>
      </w:r>
    </w:p>
    <w:p>
      <w:pPr>
        <w:pStyle w:val="Compact"/>
        <w:numPr>
          <w:ilvl w:val="0"/>
          <w:numId w:val="1051"/>
        </w:numPr>
      </w:pPr>
      <w:r>
        <w:t xml:space="preserve">1,25 OH vitamina D si se sospecha linfoma o mecanismo por calcitriol.</w:t>
      </w:r>
    </w:p>
    <w:p>
      <w:pPr>
        <w:pStyle w:val="Compact"/>
        <w:numPr>
          <w:ilvl w:val="0"/>
          <w:numId w:val="1051"/>
        </w:numPr>
      </w:pPr>
      <w:r>
        <w:t xml:space="preserve">Posibilidad de diálisis.</w:t>
      </w:r>
    </w:p>
    <w:bookmarkEnd w:id="103"/>
    <w:bookmarkStart w:id="104" w:name="clasificación-de-severidad"/>
    <w:p>
      <w:pPr>
        <w:pStyle w:val="Heading3"/>
      </w:pPr>
      <w:r>
        <w:t xml:space="preserve">20.3 Clasificación de severidad</w:t>
      </w:r>
    </w:p>
    <w:p>
      <w:pPr>
        <w:pStyle w:val="Compact"/>
        <w:numPr>
          <w:ilvl w:val="0"/>
          <w:numId w:val="1052"/>
        </w:numPr>
      </w:pPr>
      <w:r>
        <w:t xml:space="preserve">Leve: calcio corregido menor de 12 mg/dL.</w:t>
      </w:r>
    </w:p>
    <w:p>
      <w:pPr>
        <w:pStyle w:val="Compact"/>
        <w:numPr>
          <w:ilvl w:val="0"/>
          <w:numId w:val="1052"/>
        </w:numPr>
      </w:pPr>
      <w:r>
        <w:t xml:space="preserve">Moderada: calcio corregido 12 a 14 mg/dL.</w:t>
      </w:r>
    </w:p>
    <w:p>
      <w:pPr>
        <w:pStyle w:val="Compact"/>
        <w:numPr>
          <w:ilvl w:val="0"/>
          <w:numId w:val="1052"/>
        </w:numPr>
      </w:pPr>
      <w:r>
        <w:t xml:space="preserve">Severa: calcio corregido mayor de 14 mg/dL.</w:t>
      </w:r>
    </w:p>
    <w:p>
      <w:pPr>
        <w:pStyle w:val="Compact"/>
        <w:numPr>
          <w:ilvl w:val="0"/>
          <w:numId w:val="1052"/>
        </w:numPr>
      </w:pPr>
      <w:r>
        <w:t xml:space="preserve">Crisis hipercalcémica: hipercalcemia severa con alteración neurológica, arritmia, deshidratación severa, falla renal, pancreatitis, coma o inestabilidad clínica.</w:t>
      </w:r>
    </w:p>
    <w:bookmarkEnd w:id="104"/>
    <w:bookmarkStart w:id="105" w:name="lógica-terapéutica"/>
    <w:p>
      <w:pPr>
        <w:pStyle w:val="Heading3"/>
      </w:pPr>
      <w:r>
        <w:t xml:space="preserve">20.4 Lógica terapéutica</w:t>
      </w:r>
    </w:p>
    <w:p>
      <w:pPr>
        <w:pStyle w:val="FirstParagraph"/>
      </w:pPr>
      <w:r>
        <w:t xml:space="preserve">La app debe evaluar:</w:t>
      </w:r>
    </w:p>
    <w:p>
      <w:pPr>
        <w:pStyle w:val="Compact"/>
        <w:numPr>
          <w:ilvl w:val="0"/>
          <w:numId w:val="1053"/>
        </w:numPr>
      </w:pPr>
      <w:r>
        <w:t xml:space="preserve">Si el paciente puede recibir hidratación agresiva.</w:t>
      </w:r>
    </w:p>
    <w:p>
      <w:pPr>
        <w:pStyle w:val="Compact"/>
        <w:numPr>
          <w:ilvl w:val="0"/>
          <w:numId w:val="1053"/>
        </w:numPr>
      </w:pPr>
      <w:r>
        <w:t xml:space="preserve">Si hay falla cardiaca o riesgo de sobrecarga.</w:t>
      </w:r>
    </w:p>
    <w:p>
      <w:pPr>
        <w:pStyle w:val="Compact"/>
        <w:numPr>
          <w:ilvl w:val="0"/>
          <w:numId w:val="1053"/>
        </w:numPr>
      </w:pPr>
      <w:r>
        <w:t xml:space="preserve">Si hay ERC avanzada o anuria.</w:t>
      </w:r>
    </w:p>
    <w:p>
      <w:pPr>
        <w:pStyle w:val="Compact"/>
        <w:numPr>
          <w:ilvl w:val="0"/>
          <w:numId w:val="1053"/>
        </w:numPr>
      </w:pPr>
      <w:r>
        <w:t xml:space="preserve">Si el paciente requiere antiresortivo.</w:t>
      </w:r>
    </w:p>
    <w:p>
      <w:pPr>
        <w:pStyle w:val="Compact"/>
        <w:numPr>
          <w:ilvl w:val="0"/>
          <w:numId w:val="1053"/>
        </w:numPr>
      </w:pPr>
      <w:r>
        <w:t xml:space="preserve">Si la hipercalcemia es severa y amerita calcitonina temporal.</w:t>
      </w:r>
    </w:p>
    <w:p>
      <w:pPr>
        <w:pStyle w:val="Compact"/>
        <w:numPr>
          <w:ilvl w:val="0"/>
          <w:numId w:val="1053"/>
        </w:numPr>
      </w:pPr>
      <w:r>
        <w:t xml:space="preserve">Si se sospecha mecanismo mediado por calcitriol y requiere glucocorticoide.</w:t>
      </w:r>
    </w:p>
    <w:p>
      <w:pPr>
        <w:pStyle w:val="Compact"/>
        <w:numPr>
          <w:ilvl w:val="0"/>
          <w:numId w:val="1053"/>
        </w:numPr>
      </w:pPr>
      <w:r>
        <w:t xml:space="preserve">Si hay criterios para valoración por nefrología o diálisis.</w:t>
      </w:r>
    </w:p>
    <w:bookmarkEnd w:id="105"/>
    <w:bookmarkStart w:id="106" w:name="orden-médica-sugerida-base"/>
    <w:p>
      <w:pPr>
        <w:pStyle w:val="Heading3"/>
      </w:pPr>
      <w:r>
        <w:t xml:space="preserve">20.5 Orden médica sugerida base</w:t>
      </w:r>
    </w:p>
    <w:p>
      <w:pPr>
        <w:pStyle w:val="FirstParagraph"/>
      </w:pPr>
      <w:r>
        <w:rPr>
          <w:b/>
          <w:bCs/>
        </w:rPr>
        <w:t xml:space="preserve">Orden médica sugerida:</w:t>
      </w:r>
      <w:r>
        <w:t xml:space="preserve"> </w:t>
      </w:r>
      <w:r>
        <w:t xml:space="preserve">paciente con hipercalcemia probablemente asociada a malignidad. Iniciar solución salina 0.9% a velocidad calculada o sugerida por la app según volemia, función renal y riesgo de sobrecarga. Como punto de partida en paciente sin falla cardiaca ni anuria, sugerir 150 a 200 cc/hora por bomba de infusión y reevaluar en 6 horas. Ajustar según presión arterial, diuresis, balance hídrico, signos de congestión y creatinina. Suspender calcio, vitamina D y tiazidas si aplica. Solicitar calcio corregido o ionizado, creatinina, fósforo, magnesio, potasio, sodio y ECG. Considerar denosumab o bisfosfonato IV según función renal, disponibilidad, exposición previa y protocolo institucional. Si calcio corregido mayor de 14 mg/dL o hay síntomas neurológicos, considerar calcitonina como terapia transitoria de inicio rápido. Valorar nefrología si hay falla renal avanzada, anuria, sobrecarga hídrica, hipercalcemia refractaria o necesidad de diálisis.</w:t>
      </w:r>
    </w:p>
    <w:bookmarkEnd w:id="106"/>
    <w:bookmarkStart w:id="107" w:name="orden-con-riesgo-de-sobrecarga"/>
    <w:p>
      <w:pPr>
        <w:pStyle w:val="Heading3"/>
      </w:pPr>
      <w:r>
        <w:t xml:space="preserve">20.6 Orden con riesgo de sobrecarga</w:t>
      </w:r>
    </w:p>
    <w:p>
      <w:pPr>
        <w:pStyle w:val="FirstParagraph"/>
      </w:pPr>
      <w:r>
        <w:rPr>
          <w:b/>
          <w:bCs/>
        </w:rPr>
        <w:t xml:space="preserve">Orden médica sugerida:</w:t>
      </w:r>
      <w:r>
        <w:t xml:space="preserve"> </w:t>
      </w:r>
      <w:r>
        <w:t xml:space="preserve">paciente con hipercalcemia maligna y riesgo de sobrecarga hídrica. Iniciar hidratación cautelosa con solución salina 0.9% a 75 a 100 cc/hora por bomba de infusión, reevaluando signos de congestión, diuresis, creatinina, presión arterial y balance hídrico. Considerar manejo en área monitorizada y valoración por nefrología si hay oliguria, anuria, falla renal avanzada, edema pulmonar, sobrecarga o hipercalcemia refractaria.</w:t>
      </w:r>
    </w:p>
    <w:bookmarkEnd w:id="107"/>
    <w:bookmarkStart w:id="108" w:name="alertas-de-hipercalcemia-maligna"/>
    <w:p>
      <w:pPr>
        <w:pStyle w:val="Heading3"/>
      </w:pPr>
      <w:r>
        <w:t xml:space="preserve">20.7 Alertas de hipercalcemia maligna</w:t>
      </w:r>
    </w:p>
    <w:p>
      <w:pPr>
        <w:pStyle w:val="Compact"/>
        <w:numPr>
          <w:ilvl w:val="0"/>
          <w:numId w:val="1054"/>
        </w:numPr>
      </w:pPr>
      <w:r>
        <w:t xml:space="preserve">Calcio corregido mayor de 14 mg/dL.</w:t>
      </w:r>
    </w:p>
    <w:p>
      <w:pPr>
        <w:pStyle w:val="Compact"/>
        <w:numPr>
          <w:ilvl w:val="0"/>
          <w:numId w:val="1054"/>
        </w:numPr>
      </w:pPr>
      <w:r>
        <w:t xml:space="preserve">Alteración del estado de conciencia.</w:t>
      </w:r>
    </w:p>
    <w:p>
      <w:pPr>
        <w:pStyle w:val="Compact"/>
        <w:numPr>
          <w:ilvl w:val="0"/>
          <w:numId w:val="1054"/>
        </w:numPr>
      </w:pPr>
      <w:r>
        <w:t xml:space="preserve">Falla renal aguda.</w:t>
      </w:r>
    </w:p>
    <w:p>
      <w:pPr>
        <w:pStyle w:val="Compact"/>
        <w:numPr>
          <w:ilvl w:val="0"/>
          <w:numId w:val="1054"/>
        </w:numPr>
      </w:pPr>
      <w:r>
        <w:t xml:space="preserve">Oliguria o anuria.</w:t>
      </w:r>
    </w:p>
    <w:p>
      <w:pPr>
        <w:pStyle w:val="Compact"/>
        <w:numPr>
          <w:ilvl w:val="0"/>
          <w:numId w:val="1054"/>
        </w:numPr>
      </w:pPr>
      <w:r>
        <w:t xml:space="preserve">Arritmia.</w:t>
      </w:r>
    </w:p>
    <w:p>
      <w:pPr>
        <w:pStyle w:val="Compact"/>
        <w:numPr>
          <w:ilvl w:val="0"/>
          <w:numId w:val="1054"/>
        </w:numPr>
      </w:pPr>
      <w:r>
        <w:t xml:space="preserve">QT corto.</w:t>
      </w:r>
    </w:p>
    <w:p>
      <w:pPr>
        <w:pStyle w:val="Compact"/>
        <w:numPr>
          <w:ilvl w:val="0"/>
          <w:numId w:val="1054"/>
        </w:numPr>
      </w:pPr>
      <w:r>
        <w:t xml:space="preserve">Falla cardiaca.</w:t>
      </w:r>
    </w:p>
    <w:p>
      <w:pPr>
        <w:pStyle w:val="Compact"/>
        <w:numPr>
          <w:ilvl w:val="0"/>
          <w:numId w:val="1054"/>
        </w:numPr>
      </w:pPr>
      <w:r>
        <w:t xml:space="preserve">Riesgo de sobrecarga hídrica.</w:t>
      </w:r>
    </w:p>
    <w:p>
      <w:pPr>
        <w:pStyle w:val="Compact"/>
        <w:numPr>
          <w:ilvl w:val="0"/>
          <w:numId w:val="1054"/>
        </w:numPr>
      </w:pPr>
      <w:r>
        <w:t xml:space="preserve">Uso reciente de denosumab o bisfosfonato.</w:t>
      </w:r>
    </w:p>
    <w:p>
      <w:pPr>
        <w:pStyle w:val="Compact"/>
        <w:numPr>
          <w:ilvl w:val="0"/>
          <w:numId w:val="1054"/>
        </w:numPr>
      </w:pPr>
      <w:r>
        <w:t xml:space="preserve">Sospecha de linfoma o mecanismo por calcitriol.</w:t>
      </w:r>
    </w:p>
    <w:p>
      <w:pPr>
        <w:pStyle w:val="Compact"/>
        <w:numPr>
          <w:ilvl w:val="0"/>
          <w:numId w:val="1054"/>
        </w:numPr>
      </w:pPr>
      <w:r>
        <w:t xml:space="preserve">Hipocalcemia posterior a antiresortivo.</w:t>
      </w:r>
    </w:p>
    <w:bookmarkEnd w:id="108"/>
    <w:bookmarkStart w:id="109" w:name="controles-1"/>
    <w:p>
      <w:pPr>
        <w:pStyle w:val="Heading3"/>
      </w:pPr>
      <w:r>
        <w:t xml:space="preserve">20.8 Controles</w:t>
      </w:r>
    </w:p>
    <w:p>
      <w:pPr>
        <w:pStyle w:val="Compact"/>
        <w:numPr>
          <w:ilvl w:val="0"/>
          <w:numId w:val="1055"/>
        </w:numPr>
      </w:pPr>
      <w:r>
        <w:t xml:space="preserve">Calcio corregido o ionizado cada 6 a 12 horas si severa, sintomática o en UCI.</w:t>
      </w:r>
    </w:p>
    <w:p>
      <w:pPr>
        <w:pStyle w:val="Compact"/>
        <w:numPr>
          <w:ilvl w:val="0"/>
          <w:numId w:val="1055"/>
        </w:numPr>
      </w:pPr>
      <w:r>
        <w:t xml:space="preserve">Calcio cada 12 a 24 horas si estable.</w:t>
      </w:r>
    </w:p>
    <w:p>
      <w:pPr>
        <w:pStyle w:val="Compact"/>
        <w:numPr>
          <w:ilvl w:val="0"/>
          <w:numId w:val="1055"/>
        </w:numPr>
      </w:pPr>
      <w:r>
        <w:t xml:space="preserve">Creatinina, fósforo, magnesio y potasio al menos diario.</w:t>
      </w:r>
    </w:p>
    <w:p>
      <w:pPr>
        <w:pStyle w:val="Compact"/>
        <w:numPr>
          <w:ilvl w:val="0"/>
          <w:numId w:val="1055"/>
        </w:numPr>
      </w:pPr>
      <w:r>
        <w:t xml:space="preserve">Diuresis horaria si severa.</w:t>
      </w:r>
    </w:p>
    <w:p>
      <w:pPr>
        <w:pStyle w:val="Compact"/>
        <w:numPr>
          <w:ilvl w:val="0"/>
          <w:numId w:val="1055"/>
        </w:numPr>
      </w:pPr>
      <w:r>
        <w:t xml:space="preserve">Balance hídrico estricto.</w:t>
      </w:r>
    </w:p>
    <w:p>
      <w:pPr>
        <w:pStyle w:val="Compact"/>
        <w:numPr>
          <w:ilvl w:val="0"/>
          <w:numId w:val="1055"/>
        </w:numPr>
      </w:pPr>
      <w:r>
        <w:t xml:space="preserve">ECG si calcio severo o síntomas cardiovasculares.</w:t>
      </w:r>
    </w:p>
    <w:bookmarkEnd w:id="109"/>
    <w:bookmarkEnd w:id="110"/>
    <w:bookmarkStart w:id="114" w:name="generador-de-orden-médica-sugerida"/>
    <w:p>
      <w:pPr>
        <w:pStyle w:val="Heading2"/>
      </w:pPr>
      <w:r>
        <w:t xml:space="preserve">21. Generador de orden médica sugerida</w:t>
      </w:r>
    </w:p>
    <w:bookmarkStart w:id="111" w:name="estructura-obligatoria"/>
    <w:p>
      <w:pPr>
        <w:pStyle w:val="Heading3"/>
      </w:pPr>
      <w:r>
        <w:t xml:space="preserve">21.1 Estructura obligatoria</w:t>
      </w:r>
    </w:p>
    <w:p>
      <w:pPr>
        <w:pStyle w:val="FirstParagraph"/>
      </w:pPr>
      <w:r>
        <w:t xml:space="preserve">Cada orden debe contener:</w:t>
      </w:r>
    </w:p>
    <w:p>
      <w:pPr>
        <w:pStyle w:val="Compact"/>
        <w:numPr>
          <w:ilvl w:val="0"/>
          <w:numId w:val="1056"/>
        </w:numPr>
      </w:pPr>
      <w:r>
        <w:t xml:space="preserve">Diagnóstico detectado.</w:t>
      </w:r>
    </w:p>
    <w:p>
      <w:pPr>
        <w:pStyle w:val="Compact"/>
        <w:numPr>
          <w:ilvl w:val="0"/>
          <w:numId w:val="1056"/>
        </w:numPr>
      </w:pPr>
      <w:r>
        <w:t xml:space="preserve">Severidad.</w:t>
      </w:r>
    </w:p>
    <w:p>
      <w:pPr>
        <w:pStyle w:val="Compact"/>
        <w:numPr>
          <w:ilvl w:val="0"/>
          <w:numId w:val="1056"/>
        </w:numPr>
      </w:pPr>
      <w:r>
        <w:t xml:space="preserve">Riesgo clínico.</w:t>
      </w:r>
    </w:p>
    <w:p>
      <w:pPr>
        <w:pStyle w:val="Compact"/>
        <w:numPr>
          <w:ilvl w:val="0"/>
          <w:numId w:val="1056"/>
        </w:numPr>
      </w:pPr>
      <w:r>
        <w:t xml:space="preserve">Medicamento o solución.</w:t>
      </w:r>
    </w:p>
    <w:p>
      <w:pPr>
        <w:pStyle w:val="Compact"/>
        <w:numPr>
          <w:ilvl w:val="0"/>
          <w:numId w:val="1056"/>
        </w:numPr>
      </w:pPr>
      <w:r>
        <w:t xml:space="preserve">Dosis o volumen.</w:t>
      </w:r>
    </w:p>
    <w:p>
      <w:pPr>
        <w:pStyle w:val="Compact"/>
        <w:numPr>
          <w:ilvl w:val="0"/>
          <w:numId w:val="1056"/>
        </w:numPr>
      </w:pPr>
      <w:r>
        <w:t xml:space="preserve">Dilución.</w:t>
      </w:r>
    </w:p>
    <w:p>
      <w:pPr>
        <w:pStyle w:val="Compact"/>
        <w:numPr>
          <w:ilvl w:val="0"/>
          <w:numId w:val="1056"/>
        </w:numPr>
      </w:pPr>
      <w:r>
        <w:t xml:space="preserve">Vía.</w:t>
      </w:r>
    </w:p>
    <w:p>
      <w:pPr>
        <w:pStyle w:val="Compact"/>
        <w:numPr>
          <w:ilvl w:val="0"/>
          <w:numId w:val="1056"/>
        </w:numPr>
      </w:pPr>
      <w:r>
        <w:t xml:space="preserve">Velocidad.</w:t>
      </w:r>
    </w:p>
    <w:p>
      <w:pPr>
        <w:pStyle w:val="Compact"/>
        <w:numPr>
          <w:ilvl w:val="0"/>
          <w:numId w:val="1056"/>
        </w:numPr>
      </w:pPr>
      <w:r>
        <w:t xml:space="preserve">Duración inicial.</w:t>
      </w:r>
    </w:p>
    <w:p>
      <w:pPr>
        <w:pStyle w:val="Compact"/>
        <w:numPr>
          <w:ilvl w:val="0"/>
          <w:numId w:val="1056"/>
        </w:numPr>
      </w:pPr>
      <w:r>
        <w:t xml:space="preserve">Controles de laboratorio.</w:t>
      </w:r>
    </w:p>
    <w:p>
      <w:pPr>
        <w:pStyle w:val="Compact"/>
        <w:numPr>
          <w:ilvl w:val="0"/>
          <w:numId w:val="1056"/>
        </w:numPr>
      </w:pPr>
      <w:r>
        <w:t xml:space="preserve">Monitorización.</w:t>
      </w:r>
    </w:p>
    <w:p>
      <w:pPr>
        <w:pStyle w:val="Compact"/>
        <w:numPr>
          <w:ilvl w:val="0"/>
          <w:numId w:val="1056"/>
        </w:numPr>
      </w:pPr>
      <w:r>
        <w:t xml:space="preserve">Criterios de ajuste.</w:t>
      </w:r>
    </w:p>
    <w:p>
      <w:pPr>
        <w:pStyle w:val="Compact"/>
        <w:numPr>
          <w:ilvl w:val="0"/>
          <w:numId w:val="1056"/>
        </w:numPr>
      </w:pPr>
      <w:r>
        <w:t xml:space="preserve">Criterios de suspensión.</w:t>
      </w:r>
    </w:p>
    <w:p>
      <w:pPr>
        <w:pStyle w:val="Compact"/>
        <w:numPr>
          <w:ilvl w:val="0"/>
          <w:numId w:val="1056"/>
        </w:numPr>
      </w:pPr>
      <w:r>
        <w:t xml:space="preserve">Alertas.</w:t>
      </w:r>
    </w:p>
    <w:p>
      <w:pPr>
        <w:pStyle w:val="Compact"/>
        <w:numPr>
          <w:ilvl w:val="0"/>
          <w:numId w:val="1056"/>
        </w:numPr>
      </w:pPr>
      <w:r>
        <w:t xml:space="preserve">Justificación breve.</w:t>
      </w:r>
    </w:p>
    <w:bookmarkEnd w:id="111"/>
    <w:bookmarkStart w:id="112" w:name="reglas-de-redacción"/>
    <w:p>
      <w:pPr>
        <w:pStyle w:val="Heading3"/>
      </w:pPr>
      <w:r>
        <w:t xml:space="preserve">21.2 Reglas de redacción</w:t>
      </w:r>
    </w:p>
    <w:p>
      <w:pPr>
        <w:pStyle w:val="FirstParagraph"/>
      </w:pPr>
      <w:r>
        <w:t xml:space="preserve">La orden debe ser clara y copiable.</w:t>
      </w:r>
    </w:p>
    <w:p>
      <w:pPr>
        <w:pStyle w:val="BodyText"/>
      </w:pPr>
      <w:r>
        <w:t xml:space="preserve">Debe evitar frases vagas como:</w:t>
      </w:r>
    </w:p>
    <w:p>
      <w:pPr>
        <w:pStyle w:val="Compact"/>
        <w:numPr>
          <w:ilvl w:val="0"/>
          <w:numId w:val="1057"/>
        </w:numPr>
      </w:pPr>
      <w:r>
        <w:t xml:space="preserve">Reponer según necesidad.</w:t>
      </w:r>
    </w:p>
    <w:p>
      <w:pPr>
        <w:pStyle w:val="Compact"/>
        <w:numPr>
          <w:ilvl w:val="0"/>
          <w:numId w:val="1057"/>
        </w:numPr>
      </w:pPr>
      <w:r>
        <w:t xml:space="preserve">Hidratar al paciente.</w:t>
      </w:r>
    </w:p>
    <w:p>
      <w:pPr>
        <w:pStyle w:val="Compact"/>
        <w:numPr>
          <w:ilvl w:val="0"/>
          <w:numId w:val="1057"/>
        </w:numPr>
      </w:pPr>
      <w:r>
        <w:t xml:space="preserve">Corregir electrolitos.</w:t>
      </w:r>
    </w:p>
    <w:p>
      <w:pPr>
        <w:pStyle w:val="Compact"/>
        <w:numPr>
          <w:ilvl w:val="0"/>
          <w:numId w:val="1057"/>
        </w:numPr>
      </w:pPr>
      <w:r>
        <w:t xml:space="preserve">Vigilar laboratorios.</w:t>
      </w:r>
    </w:p>
    <w:p>
      <w:pPr>
        <w:pStyle w:val="FirstParagraph"/>
      </w:pPr>
      <w:r>
        <w:t xml:space="preserve">Debe usar frases operativas como:</w:t>
      </w:r>
    </w:p>
    <w:p>
      <w:pPr>
        <w:pStyle w:val="Compact"/>
        <w:numPr>
          <w:ilvl w:val="0"/>
          <w:numId w:val="1058"/>
        </w:numPr>
      </w:pPr>
      <w:r>
        <w:t xml:space="preserve">Solución salina 0.9% a 150 cc/hora por bomba de infusión durante 6 horas.</w:t>
      </w:r>
    </w:p>
    <w:p>
      <w:pPr>
        <w:pStyle w:val="Compact"/>
        <w:numPr>
          <w:ilvl w:val="0"/>
          <w:numId w:val="1058"/>
        </w:numPr>
      </w:pPr>
      <w:r>
        <w:t xml:space="preserve">Cloruro de potasio 20 mEq IV en 100 cc de solución salina 0.9% a 10 mEq/hora.</w:t>
      </w:r>
    </w:p>
    <w:p>
      <w:pPr>
        <w:pStyle w:val="Compact"/>
        <w:numPr>
          <w:ilvl w:val="0"/>
          <w:numId w:val="1058"/>
        </w:numPr>
      </w:pPr>
      <w:r>
        <w:t xml:space="preserve">Sulfato de magnesio 2 gramos IV en 100 cc de solución salina 0.9% en 1 hora.</w:t>
      </w:r>
    </w:p>
    <w:p>
      <w:pPr>
        <w:pStyle w:val="Compact"/>
        <w:numPr>
          <w:ilvl w:val="0"/>
          <w:numId w:val="1058"/>
        </w:numPr>
      </w:pPr>
      <w:r>
        <w:t xml:space="preserve">Gluconato de calcio al 10% 10 cc IV lento en 10 minutos bajo monitorización.</w:t>
      </w:r>
    </w:p>
    <w:p>
      <w:pPr>
        <w:pStyle w:val="Compact"/>
        <w:numPr>
          <w:ilvl w:val="0"/>
          <w:numId w:val="1058"/>
        </w:numPr>
      </w:pPr>
      <w:r>
        <w:t xml:space="preserve">Sodio sérico de control en 4 horas.</w:t>
      </w:r>
    </w:p>
    <w:p>
      <w:pPr>
        <w:pStyle w:val="Compact"/>
        <w:numPr>
          <w:ilvl w:val="0"/>
          <w:numId w:val="1058"/>
        </w:numPr>
      </w:pPr>
      <w:r>
        <w:t xml:space="preserve">Potasio de control en 1 hora posterior a manejo de hiperkalemia.</w:t>
      </w:r>
    </w:p>
    <w:bookmarkEnd w:id="112"/>
    <w:bookmarkStart w:id="113" w:name="botones-funcionales"/>
    <w:p>
      <w:pPr>
        <w:pStyle w:val="Heading3"/>
      </w:pPr>
      <w:r>
        <w:t xml:space="preserve">21.3 Botones funcionales</w:t>
      </w:r>
    </w:p>
    <w:p>
      <w:pPr>
        <w:pStyle w:val="FirstParagraph"/>
      </w:pPr>
      <w:r>
        <w:t xml:space="preserve">Cada orden debe tener:</w:t>
      </w:r>
    </w:p>
    <w:p>
      <w:pPr>
        <w:pStyle w:val="Compact"/>
        <w:numPr>
          <w:ilvl w:val="0"/>
          <w:numId w:val="1059"/>
        </w:numPr>
      </w:pPr>
      <w:r>
        <w:t xml:space="preserve">Copiar orden.</w:t>
      </w:r>
    </w:p>
    <w:p>
      <w:pPr>
        <w:pStyle w:val="Compact"/>
        <w:numPr>
          <w:ilvl w:val="0"/>
          <w:numId w:val="1059"/>
        </w:numPr>
      </w:pPr>
      <w:r>
        <w:t xml:space="preserve">Editar orden.</w:t>
      </w:r>
    </w:p>
    <w:p>
      <w:pPr>
        <w:pStyle w:val="Compact"/>
        <w:numPr>
          <w:ilvl w:val="0"/>
          <w:numId w:val="1059"/>
        </w:numPr>
      </w:pPr>
      <w:r>
        <w:t xml:space="preserve">Guardar en evolución.</w:t>
      </w:r>
    </w:p>
    <w:p>
      <w:pPr>
        <w:pStyle w:val="Compact"/>
        <w:numPr>
          <w:ilvl w:val="0"/>
          <w:numId w:val="1059"/>
        </w:numPr>
      </w:pPr>
      <w:r>
        <w:t xml:space="preserve">Recalcular.</w:t>
      </w:r>
    </w:p>
    <w:p>
      <w:pPr>
        <w:pStyle w:val="Compact"/>
        <w:numPr>
          <w:ilvl w:val="0"/>
          <w:numId w:val="1059"/>
        </w:numPr>
      </w:pPr>
      <w:r>
        <w:t xml:space="preserve">Ingresar laboratorio de control.</w:t>
      </w:r>
    </w:p>
    <w:p>
      <w:pPr>
        <w:pStyle w:val="Compact"/>
        <w:numPr>
          <w:ilvl w:val="0"/>
          <w:numId w:val="1059"/>
        </w:numPr>
      </w:pPr>
      <w:r>
        <w:t xml:space="preserve">Marcar como realizada.</w:t>
      </w:r>
    </w:p>
    <w:p>
      <w:pPr>
        <w:pStyle w:val="Compact"/>
        <w:numPr>
          <w:ilvl w:val="0"/>
          <w:numId w:val="1059"/>
        </w:numPr>
      </w:pPr>
      <w:r>
        <w:t xml:space="preserve">Marcar como no realizada.</w:t>
      </w:r>
    </w:p>
    <w:p>
      <w:pPr>
        <w:pStyle w:val="Compact"/>
        <w:numPr>
          <w:ilvl w:val="0"/>
          <w:numId w:val="1059"/>
        </w:numPr>
      </w:pPr>
      <w:r>
        <w:t xml:space="preserve">Agregar comentario médico.</w:t>
      </w:r>
    </w:p>
    <w:bookmarkEnd w:id="113"/>
    <w:bookmarkEnd w:id="114"/>
    <w:bookmarkStart w:id="118" w:name="seguimiento-diario-y-ajustes-automáticos"/>
    <w:p>
      <w:pPr>
        <w:pStyle w:val="Heading2"/>
      </w:pPr>
      <w:r>
        <w:t xml:space="preserve">22. Seguimiento diario y ajustes automáticos</w:t>
      </w:r>
    </w:p>
    <w:p>
      <w:pPr>
        <w:pStyle w:val="FirstParagraph"/>
      </w:pPr>
      <w:r>
        <w:t xml:space="preserve">La app debe permitir que cada paciente tenga un historial cronológico.</w:t>
      </w:r>
    </w:p>
    <w:p>
      <w:pPr>
        <w:pStyle w:val="BodyText"/>
      </w:pPr>
      <w:r>
        <w:t xml:space="preserve">Cada entrada debe incluir:</w:t>
      </w:r>
    </w:p>
    <w:p>
      <w:pPr>
        <w:pStyle w:val="Compact"/>
        <w:numPr>
          <w:ilvl w:val="0"/>
          <w:numId w:val="1060"/>
        </w:numPr>
      </w:pPr>
      <w:r>
        <w:t xml:space="preserve">Fecha y hora.</w:t>
      </w:r>
    </w:p>
    <w:p>
      <w:pPr>
        <w:pStyle w:val="Compact"/>
        <w:numPr>
          <w:ilvl w:val="0"/>
          <w:numId w:val="1060"/>
        </w:numPr>
      </w:pPr>
      <w:r>
        <w:t xml:space="preserve">Laboratorios ingresados.</w:t>
      </w:r>
    </w:p>
    <w:p>
      <w:pPr>
        <w:pStyle w:val="Compact"/>
        <w:numPr>
          <w:ilvl w:val="0"/>
          <w:numId w:val="1060"/>
        </w:numPr>
      </w:pPr>
      <w:r>
        <w:t xml:space="preserve">Trastorno detectado.</w:t>
      </w:r>
    </w:p>
    <w:p>
      <w:pPr>
        <w:pStyle w:val="Compact"/>
        <w:numPr>
          <w:ilvl w:val="0"/>
          <w:numId w:val="1060"/>
        </w:numPr>
      </w:pPr>
      <w:r>
        <w:t xml:space="preserve">Orden sugerida generada.</w:t>
      </w:r>
    </w:p>
    <w:p>
      <w:pPr>
        <w:pStyle w:val="Compact"/>
        <w:numPr>
          <w:ilvl w:val="0"/>
          <w:numId w:val="1060"/>
        </w:numPr>
      </w:pPr>
      <w:r>
        <w:t xml:space="preserve">Orden editada por el médico, si aplica.</w:t>
      </w:r>
    </w:p>
    <w:p>
      <w:pPr>
        <w:pStyle w:val="Compact"/>
        <w:numPr>
          <w:ilvl w:val="0"/>
          <w:numId w:val="1060"/>
        </w:numPr>
      </w:pPr>
      <w:r>
        <w:t xml:space="preserve">Control recomendado.</w:t>
      </w:r>
    </w:p>
    <w:p>
      <w:pPr>
        <w:pStyle w:val="Compact"/>
        <w:numPr>
          <w:ilvl w:val="0"/>
          <w:numId w:val="1060"/>
        </w:numPr>
      </w:pPr>
      <w:r>
        <w:t xml:space="preserve">Control efectivamente ingresado.</w:t>
      </w:r>
    </w:p>
    <w:p>
      <w:pPr>
        <w:pStyle w:val="Compact"/>
        <w:numPr>
          <w:ilvl w:val="0"/>
          <w:numId w:val="1060"/>
        </w:numPr>
      </w:pPr>
      <w:r>
        <w:t xml:space="preserve">Cambio del electrolito.</w:t>
      </w:r>
    </w:p>
    <w:p>
      <w:pPr>
        <w:pStyle w:val="Compact"/>
        <w:numPr>
          <w:ilvl w:val="0"/>
          <w:numId w:val="1060"/>
        </w:numPr>
      </w:pPr>
      <w:r>
        <w:t xml:space="preserve">Velocidad de corrección.</w:t>
      </w:r>
    </w:p>
    <w:p>
      <w:pPr>
        <w:pStyle w:val="Compact"/>
        <w:numPr>
          <w:ilvl w:val="0"/>
          <w:numId w:val="1060"/>
        </w:numPr>
      </w:pPr>
      <w:r>
        <w:t xml:space="preserve">Alertas emitidas.</w:t>
      </w:r>
    </w:p>
    <w:p>
      <w:pPr>
        <w:pStyle w:val="Compact"/>
        <w:numPr>
          <w:ilvl w:val="0"/>
          <w:numId w:val="1060"/>
        </w:numPr>
      </w:pPr>
      <w:r>
        <w:t xml:space="preserve">Decisión tomada.</w:t>
      </w:r>
    </w:p>
    <w:bookmarkStart w:id="115" w:name="lógica-de-control"/>
    <w:p>
      <w:pPr>
        <w:pStyle w:val="Heading3"/>
      </w:pPr>
      <w:r>
        <w:t xml:space="preserve">22.1 Lógica de control</w:t>
      </w:r>
    </w:p>
    <w:p>
      <w:pPr>
        <w:pStyle w:val="FirstParagraph"/>
      </w:pPr>
      <w:r>
        <w:t xml:space="preserve">Al ingresar un nuevo laboratorio, la app debe calcular:</w:t>
      </w:r>
    </w:p>
    <w:p>
      <w:pPr>
        <w:pStyle w:val="Compact"/>
        <w:numPr>
          <w:ilvl w:val="0"/>
          <w:numId w:val="1061"/>
        </w:numPr>
      </w:pPr>
      <w:r>
        <w:t xml:space="preserve">Diferencia absoluta del electrolito.</w:t>
      </w:r>
    </w:p>
    <w:p>
      <w:pPr>
        <w:pStyle w:val="Compact"/>
        <w:numPr>
          <w:ilvl w:val="0"/>
          <w:numId w:val="1061"/>
        </w:numPr>
      </w:pPr>
      <w:r>
        <w:t xml:space="preserve">Tiempo transcurrido desde el control previo.</w:t>
      </w:r>
    </w:p>
    <w:p>
      <w:pPr>
        <w:pStyle w:val="Compact"/>
        <w:numPr>
          <w:ilvl w:val="0"/>
          <w:numId w:val="1061"/>
        </w:numPr>
      </w:pPr>
      <w:r>
        <w:t xml:space="preserve">Velocidad de corrección.</w:t>
      </w:r>
    </w:p>
    <w:p>
      <w:pPr>
        <w:pStyle w:val="Compact"/>
        <w:numPr>
          <w:ilvl w:val="0"/>
          <w:numId w:val="1061"/>
        </w:numPr>
      </w:pPr>
      <w:r>
        <w:t xml:space="preserve">Si la corrección fue adecuada.</w:t>
      </w:r>
    </w:p>
    <w:p>
      <w:pPr>
        <w:pStyle w:val="Compact"/>
        <w:numPr>
          <w:ilvl w:val="0"/>
          <w:numId w:val="1061"/>
        </w:numPr>
      </w:pPr>
      <w:r>
        <w:t xml:space="preserve">Si fue lenta.</w:t>
      </w:r>
    </w:p>
    <w:p>
      <w:pPr>
        <w:pStyle w:val="Compact"/>
        <w:numPr>
          <w:ilvl w:val="0"/>
          <w:numId w:val="1061"/>
        </w:numPr>
      </w:pPr>
      <w:r>
        <w:t xml:space="preserve">Si fue excesiva.</w:t>
      </w:r>
    </w:p>
    <w:p>
      <w:pPr>
        <w:pStyle w:val="Compact"/>
        <w:numPr>
          <w:ilvl w:val="0"/>
          <w:numId w:val="1061"/>
        </w:numPr>
      </w:pPr>
      <w:r>
        <w:t xml:space="preserve">Si requiere aumentar, disminuir o suspender reposición.</w:t>
      </w:r>
    </w:p>
    <w:p>
      <w:pPr>
        <w:pStyle w:val="Compact"/>
        <w:numPr>
          <w:ilvl w:val="0"/>
          <w:numId w:val="1061"/>
        </w:numPr>
      </w:pPr>
      <w:r>
        <w:t xml:space="preserve">Si requiere nuevo control más temprano.</w:t>
      </w:r>
    </w:p>
    <w:bookmarkEnd w:id="115"/>
    <w:bookmarkStart w:id="116" w:name="ejemplo-de-alerta-por-sodio"/>
    <w:p>
      <w:pPr>
        <w:pStyle w:val="Heading3"/>
      </w:pPr>
      <w:r>
        <w:t xml:space="preserve">22.2 Ejemplo de alerta por sodio</w:t>
      </w:r>
    </w:p>
    <w:p>
      <w:pPr>
        <w:pStyle w:val="FirstParagraph"/>
      </w:pPr>
      <w:r>
        <w:t xml:space="preserve">Si el sodio sube de 118 a 123 en 4 horas:</w:t>
      </w:r>
    </w:p>
    <w:p>
      <w:pPr>
        <w:pStyle w:val="BodyText"/>
      </w:pPr>
      <w:r>
        <w:rPr>
          <w:b/>
          <w:bCs/>
        </w:rPr>
        <w:t xml:space="preserve">Alerta crítica:</w:t>
      </w:r>
      <w:r>
        <w:t xml:space="preserve"> </w:t>
      </w:r>
      <w:r>
        <w:t xml:space="preserve">el sodio aumentó 5 mmol/L en 4 horas. Riesgo de sobrecorrección. Suspender o ajustar corrección activa según criterio médico, solicitar nuevo sodio en 2 horas y considerar medidas para frenar corrección si se aproxima o supera el límite de seguridad.</w:t>
      </w:r>
    </w:p>
    <w:bookmarkEnd w:id="116"/>
    <w:bookmarkStart w:id="117" w:name="ejemplo-de-alerta-por-potasio"/>
    <w:p>
      <w:pPr>
        <w:pStyle w:val="Heading3"/>
      </w:pPr>
      <w:r>
        <w:t xml:space="preserve">22.3 Ejemplo de alerta por potasio</w:t>
      </w:r>
    </w:p>
    <w:p>
      <w:pPr>
        <w:pStyle w:val="FirstParagraph"/>
      </w:pPr>
      <w:r>
        <w:t xml:space="preserve">Si el potasio continúa mayor de 6 después de intervención:</w:t>
      </w:r>
    </w:p>
    <w:p>
      <w:pPr>
        <w:pStyle w:val="BodyText"/>
      </w:pPr>
      <w:r>
        <w:rPr>
          <w:b/>
          <w:bCs/>
        </w:rPr>
        <w:t xml:space="preserve">Alerta crítica:</w:t>
      </w:r>
      <w:r>
        <w:t xml:space="preserve"> </w:t>
      </w:r>
      <w:r>
        <w:t xml:space="preserve">hiperkalemia persistente posterior a manejo inicial. Repetir ECG, mantener monitorización cardíaca, verificar respuesta a medidas de redistribución y considerar eliminación de potasio o terapia de reemplazo renal según función renal y diuresis.</w:t>
      </w:r>
    </w:p>
    <w:bookmarkEnd w:id="117"/>
    <w:bookmarkEnd w:id="118"/>
    <w:bookmarkStart w:id="123" w:name="selección-de-líquidos-intravenosos"/>
    <w:p>
      <w:pPr>
        <w:pStyle w:val="Heading2"/>
      </w:pPr>
      <w:r>
        <w:t xml:space="preserve">23. Selección de líquidos intravenosos</w:t>
      </w:r>
    </w:p>
    <w:p>
      <w:pPr>
        <w:pStyle w:val="FirstParagraph"/>
      </w:pPr>
      <w:r>
        <w:t xml:space="preserve">La app debe sugerir soluciones específicas según contexto.</w:t>
      </w:r>
    </w:p>
    <w:bookmarkStart w:id="119" w:name="solución-salina-0.9"/>
    <w:p>
      <w:pPr>
        <w:pStyle w:val="Heading3"/>
      </w:pPr>
      <w:r>
        <w:t xml:space="preserve">23.1 Solución salina 0.9%</w:t>
      </w:r>
    </w:p>
    <w:p>
      <w:pPr>
        <w:pStyle w:val="FirstParagraph"/>
      </w:pPr>
      <w:r>
        <w:t xml:space="preserve">Preferir en:</w:t>
      </w:r>
    </w:p>
    <w:p>
      <w:pPr>
        <w:pStyle w:val="Compact"/>
        <w:numPr>
          <w:ilvl w:val="0"/>
          <w:numId w:val="1062"/>
        </w:numPr>
      </w:pPr>
      <w:r>
        <w:t xml:space="preserve">Hiponatremia hipovolémica.</w:t>
      </w:r>
    </w:p>
    <w:p>
      <w:pPr>
        <w:pStyle w:val="Compact"/>
        <w:numPr>
          <w:ilvl w:val="0"/>
          <w:numId w:val="1062"/>
        </w:numPr>
      </w:pPr>
      <w:r>
        <w:t xml:space="preserve">Hipercalcemia maligna.</w:t>
      </w:r>
    </w:p>
    <w:p>
      <w:pPr>
        <w:pStyle w:val="Compact"/>
        <w:numPr>
          <w:ilvl w:val="0"/>
          <w:numId w:val="1062"/>
        </w:numPr>
      </w:pPr>
      <w:r>
        <w:t xml:space="preserve">Alcalosis metabólica con depleción de cloro.</w:t>
      </w:r>
    </w:p>
    <w:p>
      <w:pPr>
        <w:pStyle w:val="Compact"/>
        <w:numPr>
          <w:ilvl w:val="0"/>
          <w:numId w:val="1062"/>
        </w:numPr>
      </w:pPr>
      <w:r>
        <w:t xml:space="preserve">Pérdidas gastrointestinales con contracción de volumen.</w:t>
      </w:r>
    </w:p>
    <w:p>
      <w:pPr>
        <w:pStyle w:val="Compact"/>
        <w:numPr>
          <w:ilvl w:val="0"/>
          <w:numId w:val="1062"/>
        </w:numPr>
      </w:pPr>
      <w:r>
        <w:t xml:space="preserve">Necesidad de hidratación isotónica sin aportar potasio ni calcio.</w:t>
      </w:r>
    </w:p>
    <w:p>
      <w:pPr>
        <w:pStyle w:val="Compact"/>
        <w:numPr>
          <w:ilvl w:val="0"/>
          <w:numId w:val="1062"/>
        </w:numPr>
      </w:pPr>
      <w:r>
        <w:t xml:space="preserve">Paciente con hipercalcemia, donde Hartmann no debe ser primera opción por contener calcio.</w:t>
      </w:r>
    </w:p>
    <w:bookmarkEnd w:id="119"/>
    <w:bookmarkStart w:id="120" w:name="hartmann-o-cristaloide-balanceado"/>
    <w:p>
      <w:pPr>
        <w:pStyle w:val="Heading3"/>
      </w:pPr>
      <w:r>
        <w:t xml:space="preserve">23.2 Hartmann o cristaloide balanceado</w:t>
      </w:r>
    </w:p>
    <w:p>
      <w:pPr>
        <w:pStyle w:val="FirstParagraph"/>
      </w:pPr>
      <w:r>
        <w:t xml:space="preserve">Considerar en:</w:t>
      </w:r>
    </w:p>
    <w:p>
      <w:pPr>
        <w:pStyle w:val="Compact"/>
        <w:numPr>
          <w:ilvl w:val="0"/>
          <w:numId w:val="1063"/>
        </w:numPr>
      </w:pPr>
      <w:r>
        <w:t xml:space="preserve">Reposición de volumen general.</w:t>
      </w:r>
    </w:p>
    <w:p>
      <w:pPr>
        <w:pStyle w:val="Compact"/>
        <w:numPr>
          <w:ilvl w:val="0"/>
          <w:numId w:val="1063"/>
        </w:numPr>
      </w:pPr>
      <w:r>
        <w:t xml:space="preserve">Sepsis o hipovolemia sin hipercalcemia significativa.</w:t>
      </w:r>
    </w:p>
    <w:p>
      <w:pPr>
        <w:pStyle w:val="Compact"/>
        <w:numPr>
          <w:ilvl w:val="0"/>
          <w:numId w:val="1063"/>
        </w:numPr>
      </w:pPr>
      <w:r>
        <w:t xml:space="preserve">Riesgo de acidosis hiperclorémica.</w:t>
      </w:r>
    </w:p>
    <w:p>
      <w:pPr>
        <w:pStyle w:val="Compact"/>
        <w:numPr>
          <w:ilvl w:val="0"/>
          <w:numId w:val="1063"/>
        </w:numPr>
      </w:pPr>
      <w:r>
        <w:t xml:space="preserve">Paciente sin hiperkalemia crítica y sin contraindicación clara.</w:t>
      </w:r>
    </w:p>
    <w:bookmarkEnd w:id="120"/>
    <w:bookmarkStart w:id="121" w:name="dextrosa-al-5"/>
    <w:p>
      <w:pPr>
        <w:pStyle w:val="Heading3"/>
      </w:pPr>
      <w:r>
        <w:t xml:space="preserve">23.3 Dextrosa al 5%</w:t>
      </w:r>
    </w:p>
    <w:p>
      <w:pPr>
        <w:pStyle w:val="FirstParagraph"/>
      </w:pPr>
      <w:r>
        <w:t xml:space="preserve">Considerar en:</w:t>
      </w:r>
    </w:p>
    <w:p>
      <w:pPr>
        <w:pStyle w:val="Compact"/>
        <w:numPr>
          <w:ilvl w:val="0"/>
          <w:numId w:val="1064"/>
        </w:numPr>
      </w:pPr>
      <w:r>
        <w:t xml:space="preserve">Reposición de agua libre.</w:t>
      </w:r>
    </w:p>
    <w:p>
      <w:pPr>
        <w:pStyle w:val="Compact"/>
        <w:numPr>
          <w:ilvl w:val="0"/>
          <w:numId w:val="1064"/>
        </w:numPr>
      </w:pPr>
      <w:r>
        <w:t xml:space="preserve">Hipernatremia, según cálculo de déficit y ritmo de corrección.</w:t>
      </w:r>
    </w:p>
    <w:p>
      <w:pPr>
        <w:pStyle w:val="Compact"/>
        <w:numPr>
          <w:ilvl w:val="0"/>
          <w:numId w:val="1064"/>
        </w:numPr>
      </w:pPr>
      <w:r>
        <w:t xml:space="preserve">Escenarios donde se requiera frenar o revertir sobrecorrección de sodio, según criterio médico.</w:t>
      </w:r>
    </w:p>
    <w:bookmarkEnd w:id="121"/>
    <w:bookmarkStart w:id="122" w:name="solución-salina-hipertónica-al-3"/>
    <w:p>
      <w:pPr>
        <w:pStyle w:val="Heading3"/>
      </w:pPr>
      <w:r>
        <w:t xml:space="preserve">23.4 Solución salina hipertónica al 3%</w:t>
      </w:r>
    </w:p>
    <w:p>
      <w:pPr>
        <w:pStyle w:val="FirstParagraph"/>
      </w:pPr>
      <w:r>
        <w:t xml:space="preserve">Usar solo cuando la regla interna de hiponatremia severa se active o cuando el médico manualmente justifique su uso.</w:t>
      </w:r>
    </w:p>
    <w:p>
      <w:pPr>
        <w:pStyle w:val="BodyText"/>
      </w:pPr>
      <w:r>
        <w:t xml:space="preserve">Regla interna automática:</w:t>
      </w:r>
    </w:p>
    <w:p>
      <w:pPr>
        <w:pStyle w:val="Compact"/>
        <w:numPr>
          <w:ilvl w:val="0"/>
          <w:numId w:val="1065"/>
        </w:numPr>
      </w:pPr>
      <w:r>
        <w:t xml:space="preserve">Sodio menor de 120 mmol/L.</w:t>
      </w:r>
    </w:p>
    <w:p>
      <w:pPr>
        <w:pStyle w:val="Compact"/>
        <w:numPr>
          <w:ilvl w:val="0"/>
          <w:numId w:val="1065"/>
        </w:numPr>
      </w:pPr>
      <w:r>
        <w:t xml:space="preserve">Signos neurológicos presentes.</w:t>
      </w:r>
    </w:p>
    <w:bookmarkEnd w:id="122"/>
    <w:bookmarkEnd w:id="123"/>
    <w:bookmarkStart w:id="124" w:name="alertas-globales-de-seguridad"/>
    <w:p>
      <w:pPr>
        <w:pStyle w:val="Heading2"/>
      </w:pPr>
      <w:r>
        <w:t xml:space="preserve">24. Alertas globales de seguridad</w:t>
      </w:r>
    </w:p>
    <w:p>
      <w:pPr>
        <w:pStyle w:val="FirstParagraph"/>
      </w:pPr>
      <w:r>
        <w:t xml:space="preserve">La app debe generar alertas cuando detecte:</w:t>
      </w:r>
    </w:p>
    <w:p>
      <w:pPr>
        <w:pStyle w:val="Compact"/>
        <w:numPr>
          <w:ilvl w:val="0"/>
          <w:numId w:val="1066"/>
        </w:numPr>
      </w:pPr>
      <w:r>
        <w:t xml:space="preserve">Sodio menor de 120 con síntomas neurológicos.</w:t>
      </w:r>
    </w:p>
    <w:p>
      <w:pPr>
        <w:pStyle w:val="Compact"/>
        <w:numPr>
          <w:ilvl w:val="0"/>
          <w:numId w:val="1066"/>
        </w:numPr>
      </w:pPr>
      <w:r>
        <w:t xml:space="preserve">Ascenso rápido de sodio.</w:t>
      </w:r>
    </w:p>
    <w:p>
      <w:pPr>
        <w:pStyle w:val="Compact"/>
        <w:numPr>
          <w:ilvl w:val="0"/>
          <w:numId w:val="1066"/>
        </w:numPr>
      </w:pPr>
      <w:r>
        <w:t xml:space="preserve">Potasio mayor de 6.</w:t>
      </w:r>
    </w:p>
    <w:p>
      <w:pPr>
        <w:pStyle w:val="Compact"/>
        <w:numPr>
          <w:ilvl w:val="0"/>
          <w:numId w:val="1066"/>
        </w:numPr>
      </w:pPr>
      <w:r>
        <w:t xml:space="preserve">Potasio menor de 2.5.</w:t>
      </w:r>
    </w:p>
    <w:p>
      <w:pPr>
        <w:pStyle w:val="Compact"/>
        <w:numPr>
          <w:ilvl w:val="0"/>
          <w:numId w:val="1066"/>
        </w:numPr>
      </w:pPr>
      <w:r>
        <w:t xml:space="preserve">Cambios electrocardiográficos.</w:t>
      </w:r>
    </w:p>
    <w:p>
      <w:pPr>
        <w:pStyle w:val="Compact"/>
        <w:numPr>
          <w:ilvl w:val="0"/>
          <w:numId w:val="1066"/>
        </w:numPr>
      </w:pPr>
      <w:r>
        <w:t xml:space="preserve">Magnesio severamente bajo con arritmia o convulsión.</w:t>
      </w:r>
    </w:p>
    <w:p>
      <w:pPr>
        <w:pStyle w:val="Compact"/>
        <w:numPr>
          <w:ilvl w:val="0"/>
          <w:numId w:val="1066"/>
        </w:numPr>
      </w:pPr>
      <w:r>
        <w:t xml:space="preserve">Calcio sintomático.</w:t>
      </w:r>
    </w:p>
    <w:p>
      <w:pPr>
        <w:pStyle w:val="Compact"/>
        <w:numPr>
          <w:ilvl w:val="0"/>
          <w:numId w:val="1066"/>
        </w:numPr>
      </w:pPr>
      <w:r>
        <w:t xml:space="preserve">Hipercalcemia mayor de 14 mg/dL.</w:t>
      </w:r>
    </w:p>
    <w:p>
      <w:pPr>
        <w:pStyle w:val="Compact"/>
        <w:numPr>
          <w:ilvl w:val="0"/>
          <w:numId w:val="1066"/>
        </w:numPr>
      </w:pPr>
      <w:r>
        <w:t xml:space="preserve">Fósforo menor de 1 mg/dL.</w:t>
      </w:r>
    </w:p>
    <w:p>
      <w:pPr>
        <w:pStyle w:val="Compact"/>
        <w:numPr>
          <w:ilvl w:val="0"/>
          <w:numId w:val="1066"/>
        </w:numPr>
      </w:pPr>
      <w:r>
        <w:t xml:space="preserve">Anuria.</w:t>
      </w:r>
    </w:p>
    <w:p>
      <w:pPr>
        <w:pStyle w:val="Compact"/>
        <w:numPr>
          <w:ilvl w:val="0"/>
          <w:numId w:val="1066"/>
        </w:numPr>
      </w:pPr>
      <w:r>
        <w:t xml:space="preserve">Oliguria.</w:t>
      </w:r>
    </w:p>
    <w:p>
      <w:pPr>
        <w:pStyle w:val="Compact"/>
        <w:numPr>
          <w:ilvl w:val="0"/>
          <w:numId w:val="1066"/>
        </w:numPr>
      </w:pPr>
      <w:r>
        <w:t xml:space="preserve">Falla renal avanzada.</w:t>
      </w:r>
    </w:p>
    <w:p>
      <w:pPr>
        <w:pStyle w:val="Compact"/>
        <w:numPr>
          <w:ilvl w:val="0"/>
          <w:numId w:val="1066"/>
        </w:numPr>
      </w:pPr>
      <w:r>
        <w:t xml:space="preserve">Diálisis.</w:t>
      </w:r>
    </w:p>
    <w:p>
      <w:pPr>
        <w:pStyle w:val="Compact"/>
        <w:numPr>
          <w:ilvl w:val="0"/>
          <w:numId w:val="1066"/>
        </w:numPr>
      </w:pPr>
      <w:r>
        <w:t xml:space="preserve">Riesgo de sobrecarga.</w:t>
      </w:r>
    </w:p>
    <w:p>
      <w:pPr>
        <w:pStyle w:val="Compact"/>
        <w:numPr>
          <w:ilvl w:val="0"/>
          <w:numId w:val="1066"/>
        </w:numPr>
      </w:pPr>
      <w:r>
        <w:t xml:space="preserve">Combinaciones peligrosas, como hipokalemia más hipomagnesemia o hipercalcemia más falla renal.</w:t>
      </w:r>
    </w:p>
    <w:bookmarkEnd w:id="124"/>
    <w:bookmarkStart w:id="125" w:name="auditoría-y-responsabilidad-médica"/>
    <w:p>
      <w:pPr>
        <w:pStyle w:val="Heading2"/>
      </w:pPr>
      <w:r>
        <w:t xml:space="preserve">25. Auditoría y responsabilidad médica</w:t>
      </w:r>
    </w:p>
    <w:p>
      <w:pPr>
        <w:pStyle w:val="FirstParagraph"/>
      </w:pPr>
      <w:r>
        <w:t xml:space="preserve">La app debe guardar:</w:t>
      </w:r>
    </w:p>
    <w:p>
      <w:pPr>
        <w:pStyle w:val="Compact"/>
        <w:numPr>
          <w:ilvl w:val="0"/>
          <w:numId w:val="1067"/>
        </w:numPr>
      </w:pPr>
      <w:r>
        <w:t xml:space="preserve">Usuario que creó el paciente.</w:t>
      </w:r>
    </w:p>
    <w:p>
      <w:pPr>
        <w:pStyle w:val="Compact"/>
        <w:numPr>
          <w:ilvl w:val="0"/>
          <w:numId w:val="1067"/>
        </w:numPr>
      </w:pPr>
      <w:r>
        <w:t xml:space="preserve">Usuario que ingresó laboratorio.</w:t>
      </w:r>
    </w:p>
    <w:p>
      <w:pPr>
        <w:pStyle w:val="Compact"/>
        <w:numPr>
          <w:ilvl w:val="0"/>
          <w:numId w:val="1067"/>
        </w:numPr>
      </w:pPr>
      <w:r>
        <w:t xml:space="preserve">Fecha y hora de cada dato.</w:t>
      </w:r>
    </w:p>
    <w:p>
      <w:pPr>
        <w:pStyle w:val="Compact"/>
        <w:numPr>
          <w:ilvl w:val="0"/>
          <w:numId w:val="1067"/>
        </w:numPr>
      </w:pPr>
      <w:r>
        <w:t xml:space="preserve">Recomendación generada.</w:t>
      </w:r>
    </w:p>
    <w:p>
      <w:pPr>
        <w:pStyle w:val="Compact"/>
        <w:numPr>
          <w:ilvl w:val="0"/>
          <w:numId w:val="1067"/>
        </w:numPr>
      </w:pPr>
      <w:r>
        <w:t xml:space="preserve">Si la orden fue copiada.</w:t>
      </w:r>
    </w:p>
    <w:p>
      <w:pPr>
        <w:pStyle w:val="Compact"/>
        <w:numPr>
          <w:ilvl w:val="0"/>
          <w:numId w:val="1067"/>
        </w:numPr>
      </w:pPr>
      <w:r>
        <w:t xml:space="preserve">Si la orden fue editada.</w:t>
      </w:r>
    </w:p>
    <w:p>
      <w:pPr>
        <w:pStyle w:val="Compact"/>
        <w:numPr>
          <w:ilvl w:val="0"/>
          <w:numId w:val="1067"/>
        </w:numPr>
      </w:pPr>
      <w:r>
        <w:t xml:space="preserve">Versión final editada.</w:t>
      </w:r>
    </w:p>
    <w:p>
      <w:pPr>
        <w:pStyle w:val="Compact"/>
        <w:numPr>
          <w:ilvl w:val="0"/>
          <w:numId w:val="1067"/>
        </w:numPr>
      </w:pPr>
      <w:r>
        <w:t xml:space="preserve">Laboratorios de control.</w:t>
      </w:r>
    </w:p>
    <w:p>
      <w:pPr>
        <w:pStyle w:val="Compact"/>
        <w:numPr>
          <w:ilvl w:val="0"/>
          <w:numId w:val="1067"/>
        </w:numPr>
      </w:pPr>
      <w:r>
        <w:t xml:space="preserve">Alertas emitidas.</w:t>
      </w:r>
    </w:p>
    <w:p>
      <w:pPr>
        <w:pStyle w:val="Compact"/>
        <w:numPr>
          <w:ilvl w:val="0"/>
          <w:numId w:val="1067"/>
        </w:numPr>
      </w:pPr>
      <w:r>
        <w:t xml:space="preserve">Decisiones del médico.</w:t>
      </w:r>
    </w:p>
    <w:p>
      <w:pPr>
        <w:pStyle w:val="FirstParagraph"/>
      </w:pPr>
      <w:r>
        <w:t xml:space="preserve">Debe mostrar un mensaje permanente:</w:t>
      </w:r>
    </w:p>
    <w:p>
      <w:pPr>
        <w:pStyle w:val="BodyText"/>
      </w:pPr>
      <w:r>
        <w:rPr>
          <w:b/>
          <w:bCs/>
        </w:rPr>
        <w:t xml:space="preserve">Esta herramienta es un sistema de apoyo clínico para médicos. Las recomendaciones son sugeridas, editables y deben interpretarse según el contexto clínico, protocolos institucionales y criterio del médico tratante. No reemplaza la valoración médica.</w:t>
      </w:r>
    </w:p>
    <w:bookmarkEnd w:id="125"/>
    <w:bookmarkStart w:id="126" w:name="configuración-institucional"/>
    <w:p>
      <w:pPr>
        <w:pStyle w:val="Heading2"/>
      </w:pPr>
      <w:r>
        <w:t xml:space="preserve">26. Configuración institucional</w:t>
      </w:r>
    </w:p>
    <w:p>
      <w:pPr>
        <w:pStyle w:val="FirstParagraph"/>
      </w:pPr>
      <w:r>
        <w:t xml:space="preserve">Cada institución debe poder configurar:</w:t>
      </w:r>
    </w:p>
    <w:p>
      <w:pPr>
        <w:pStyle w:val="Compact"/>
        <w:numPr>
          <w:ilvl w:val="0"/>
          <w:numId w:val="1068"/>
        </w:numPr>
      </w:pPr>
      <w:r>
        <w:t xml:space="preserve">Rangos normales de laboratorio.</w:t>
      </w:r>
    </w:p>
    <w:p>
      <w:pPr>
        <w:pStyle w:val="Compact"/>
        <w:numPr>
          <w:ilvl w:val="0"/>
          <w:numId w:val="1068"/>
        </w:numPr>
      </w:pPr>
      <w:r>
        <w:t xml:space="preserve">Rangos de severidad.</w:t>
      </w:r>
    </w:p>
    <w:p>
      <w:pPr>
        <w:pStyle w:val="Compact"/>
        <w:numPr>
          <w:ilvl w:val="0"/>
          <w:numId w:val="1068"/>
        </w:numPr>
      </w:pPr>
      <w:r>
        <w:t xml:space="preserve">Protocolos de reposición.</w:t>
      </w:r>
    </w:p>
    <w:p>
      <w:pPr>
        <w:pStyle w:val="Compact"/>
        <w:numPr>
          <w:ilvl w:val="0"/>
          <w:numId w:val="1068"/>
        </w:numPr>
      </w:pPr>
      <w:r>
        <w:t xml:space="preserve">Velocidades máximas de infusión.</w:t>
      </w:r>
    </w:p>
    <w:p>
      <w:pPr>
        <w:pStyle w:val="Compact"/>
        <w:numPr>
          <w:ilvl w:val="0"/>
          <w:numId w:val="1068"/>
        </w:numPr>
      </w:pPr>
      <w:r>
        <w:t xml:space="preserve">Concentraciones disponibles.</w:t>
      </w:r>
    </w:p>
    <w:p>
      <w:pPr>
        <w:pStyle w:val="Compact"/>
        <w:numPr>
          <w:ilvl w:val="0"/>
          <w:numId w:val="1068"/>
        </w:numPr>
      </w:pPr>
      <w:r>
        <w:t xml:space="preserve">Medicamentos disponibles.</w:t>
      </w:r>
    </w:p>
    <w:p>
      <w:pPr>
        <w:pStyle w:val="Compact"/>
        <w:numPr>
          <w:ilvl w:val="0"/>
          <w:numId w:val="1068"/>
        </w:numPr>
      </w:pPr>
      <w:r>
        <w:t xml:space="preserve">Diluciones estándar.</w:t>
      </w:r>
    </w:p>
    <w:p>
      <w:pPr>
        <w:pStyle w:val="Compact"/>
        <w:numPr>
          <w:ilvl w:val="0"/>
          <w:numId w:val="1068"/>
        </w:numPr>
      </w:pPr>
      <w:r>
        <w:t xml:space="preserve">Frecuencia de controles.</w:t>
      </w:r>
    </w:p>
    <w:p>
      <w:pPr>
        <w:pStyle w:val="Compact"/>
        <w:numPr>
          <w:ilvl w:val="0"/>
          <w:numId w:val="1068"/>
        </w:numPr>
      </w:pPr>
      <w:r>
        <w:t xml:space="preserve">Límites de alerta.</w:t>
      </w:r>
    </w:p>
    <w:p>
      <w:pPr>
        <w:pStyle w:val="Compact"/>
        <w:numPr>
          <w:ilvl w:val="0"/>
          <w:numId w:val="1068"/>
        </w:numPr>
      </w:pPr>
      <w:r>
        <w:t xml:space="preserve">Reglas de autorización.</w:t>
      </w:r>
    </w:p>
    <w:p>
      <w:pPr>
        <w:pStyle w:val="Compact"/>
        <w:numPr>
          <w:ilvl w:val="0"/>
          <w:numId w:val="1068"/>
        </w:numPr>
      </w:pPr>
      <w:r>
        <w:t xml:space="preserve">Logo institucional.</w:t>
      </w:r>
    </w:p>
    <w:p>
      <w:pPr>
        <w:pStyle w:val="Compact"/>
        <w:numPr>
          <w:ilvl w:val="0"/>
          <w:numId w:val="1068"/>
        </w:numPr>
      </w:pPr>
      <w:r>
        <w:t xml:space="preserve">Nombre del hospital.</w:t>
      </w:r>
    </w:p>
    <w:p>
      <w:pPr>
        <w:pStyle w:val="Compact"/>
        <w:numPr>
          <w:ilvl w:val="0"/>
          <w:numId w:val="1068"/>
        </w:numPr>
      </w:pPr>
      <w:r>
        <w:t xml:space="preserve">Unidades de laboratorio.</w:t>
      </w:r>
    </w:p>
    <w:bookmarkEnd w:id="126"/>
    <w:bookmarkStart w:id="134" w:name="base-de-datos-sugerida"/>
    <w:p>
      <w:pPr>
        <w:pStyle w:val="Heading2"/>
      </w:pPr>
      <w:r>
        <w:t xml:space="preserve">27. Base de datos sugerida</w:t>
      </w:r>
    </w:p>
    <w:bookmarkStart w:id="127" w:name="instituciones"/>
    <w:p>
      <w:pPr>
        <w:pStyle w:val="Heading3"/>
      </w:pPr>
      <w:r>
        <w:t xml:space="preserve">27.1 Instituciones</w:t>
      </w:r>
    </w:p>
    <w:p>
      <w:pPr>
        <w:pStyle w:val="FirstParagraph"/>
      </w:pPr>
      <w:r>
        <w:t xml:space="preserve">Campos:</w:t>
      </w:r>
    </w:p>
    <w:p>
      <w:pPr>
        <w:pStyle w:val="Compact"/>
        <w:numPr>
          <w:ilvl w:val="0"/>
          <w:numId w:val="1069"/>
        </w:numPr>
      </w:pPr>
      <w:r>
        <w:t xml:space="preserve">id.</w:t>
      </w:r>
    </w:p>
    <w:p>
      <w:pPr>
        <w:pStyle w:val="Compact"/>
        <w:numPr>
          <w:ilvl w:val="0"/>
          <w:numId w:val="1069"/>
        </w:numPr>
      </w:pPr>
      <w:r>
        <w:t xml:space="preserve">nombre.</w:t>
      </w:r>
    </w:p>
    <w:p>
      <w:pPr>
        <w:pStyle w:val="Compact"/>
        <w:numPr>
          <w:ilvl w:val="0"/>
          <w:numId w:val="1069"/>
        </w:numPr>
      </w:pPr>
      <w:r>
        <w:t xml:space="preserve">nit o identificador.</w:t>
      </w:r>
    </w:p>
    <w:p>
      <w:pPr>
        <w:pStyle w:val="Compact"/>
        <w:numPr>
          <w:ilvl w:val="0"/>
          <w:numId w:val="1069"/>
        </w:numPr>
      </w:pPr>
      <w:r>
        <w:t xml:space="preserve">ciudad.</w:t>
      </w:r>
    </w:p>
    <w:p>
      <w:pPr>
        <w:pStyle w:val="Compact"/>
        <w:numPr>
          <w:ilvl w:val="0"/>
          <w:numId w:val="1069"/>
        </w:numPr>
      </w:pPr>
      <w:r>
        <w:t xml:space="preserve">estado.</w:t>
      </w:r>
    </w:p>
    <w:p>
      <w:pPr>
        <w:pStyle w:val="Compact"/>
        <w:numPr>
          <w:ilvl w:val="0"/>
          <w:numId w:val="1069"/>
        </w:numPr>
      </w:pPr>
      <w:r>
        <w:t xml:space="preserve">fecha de creación.</w:t>
      </w:r>
    </w:p>
    <w:p>
      <w:pPr>
        <w:pStyle w:val="Compact"/>
        <w:numPr>
          <w:ilvl w:val="0"/>
          <w:numId w:val="1069"/>
        </w:numPr>
      </w:pPr>
      <w:r>
        <w:t xml:space="preserve">configuración clínica.</w:t>
      </w:r>
    </w:p>
    <w:p>
      <w:pPr>
        <w:pStyle w:val="Compact"/>
        <w:numPr>
          <w:ilvl w:val="0"/>
          <w:numId w:val="1069"/>
        </w:numPr>
      </w:pPr>
      <w:r>
        <w:t xml:space="preserve">logo.</w:t>
      </w:r>
    </w:p>
    <w:bookmarkEnd w:id="127"/>
    <w:bookmarkStart w:id="128" w:name="usuarios"/>
    <w:p>
      <w:pPr>
        <w:pStyle w:val="Heading3"/>
      </w:pPr>
      <w:r>
        <w:t xml:space="preserve">27.2 Usuarios</w:t>
      </w:r>
    </w:p>
    <w:p>
      <w:pPr>
        <w:pStyle w:val="FirstParagraph"/>
      </w:pPr>
      <w:r>
        <w:t xml:space="preserve">Campos:</w:t>
      </w:r>
    </w:p>
    <w:p>
      <w:pPr>
        <w:pStyle w:val="Compact"/>
        <w:numPr>
          <w:ilvl w:val="0"/>
          <w:numId w:val="1070"/>
        </w:numPr>
      </w:pPr>
      <w:r>
        <w:t xml:space="preserve">id.</w:t>
      </w:r>
    </w:p>
    <w:p>
      <w:pPr>
        <w:pStyle w:val="Compact"/>
        <w:numPr>
          <w:ilvl w:val="0"/>
          <w:numId w:val="1070"/>
        </w:numPr>
      </w:pPr>
      <w:r>
        <w:t xml:space="preserve">institución_id.</w:t>
      </w:r>
    </w:p>
    <w:p>
      <w:pPr>
        <w:pStyle w:val="Compact"/>
        <w:numPr>
          <w:ilvl w:val="0"/>
          <w:numId w:val="1070"/>
        </w:numPr>
      </w:pPr>
      <w:r>
        <w:t xml:space="preserve">nombre.</w:t>
      </w:r>
    </w:p>
    <w:p>
      <w:pPr>
        <w:pStyle w:val="Compact"/>
        <w:numPr>
          <w:ilvl w:val="0"/>
          <w:numId w:val="1070"/>
        </w:numPr>
      </w:pPr>
      <w:r>
        <w:t xml:space="preserve">correo.</w:t>
      </w:r>
    </w:p>
    <w:p>
      <w:pPr>
        <w:pStyle w:val="Compact"/>
        <w:numPr>
          <w:ilvl w:val="0"/>
          <w:numId w:val="1070"/>
        </w:numPr>
      </w:pPr>
      <w:r>
        <w:t xml:space="preserve">documento.</w:t>
      </w:r>
    </w:p>
    <w:p>
      <w:pPr>
        <w:pStyle w:val="Compact"/>
        <w:numPr>
          <w:ilvl w:val="0"/>
          <w:numId w:val="1070"/>
        </w:numPr>
      </w:pPr>
      <w:r>
        <w:t xml:space="preserve">rol.</w:t>
      </w:r>
    </w:p>
    <w:p>
      <w:pPr>
        <w:pStyle w:val="Compact"/>
        <w:numPr>
          <w:ilvl w:val="0"/>
          <w:numId w:val="1070"/>
        </w:numPr>
      </w:pPr>
      <w:r>
        <w:t xml:space="preserve">contraseña cifrada.</w:t>
      </w:r>
    </w:p>
    <w:p>
      <w:pPr>
        <w:pStyle w:val="Compact"/>
        <w:numPr>
          <w:ilvl w:val="0"/>
          <w:numId w:val="1070"/>
        </w:numPr>
      </w:pPr>
      <w:r>
        <w:t xml:space="preserve">estado.</w:t>
      </w:r>
    </w:p>
    <w:p>
      <w:pPr>
        <w:pStyle w:val="Compact"/>
        <w:numPr>
          <w:ilvl w:val="0"/>
          <w:numId w:val="1070"/>
        </w:numPr>
      </w:pPr>
      <w:r>
        <w:t xml:space="preserve">fecha de creación.</w:t>
      </w:r>
    </w:p>
    <w:p>
      <w:pPr>
        <w:pStyle w:val="Compact"/>
        <w:numPr>
          <w:ilvl w:val="0"/>
          <w:numId w:val="1070"/>
        </w:numPr>
      </w:pPr>
      <w:r>
        <w:t xml:space="preserve">último ingreso.</w:t>
      </w:r>
    </w:p>
    <w:bookmarkEnd w:id="128"/>
    <w:bookmarkStart w:id="129" w:name="pacientes"/>
    <w:p>
      <w:pPr>
        <w:pStyle w:val="Heading3"/>
      </w:pPr>
      <w:r>
        <w:t xml:space="preserve">27.3 Pacientes</w:t>
      </w:r>
    </w:p>
    <w:p>
      <w:pPr>
        <w:pStyle w:val="FirstParagraph"/>
      </w:pPr>
      <w:r>
        <w:t xml:space="preserve">Campos:</w:t>
      </w:r>
    </w:p>
    <w:p>
      <w:pPr>
        <w:pStyle w:val="Compact"/>
        <w:numPr>
          <w:ilvl w:val="0"/>
          <w:numId w:val="1071"/>
        </w:numPr>
      </w:pPr>
      <w:r>
        <w:t xml:space="preserve">id.</w:t>
      </w:r>
    </w:p>
    <w:p>
      <w:pPr>
        <w:pStyle w:val="Compact"/>
        <w:numPr>
          <w:ilvl w:val="0"/>
          <w:numId w:val="1071"/>
        </w:numPr>
      </w:pPr>
      <w:r>
        <w:t xml:space="preserve">institución_id.</w:t>
      </w:r>
    </w:p>
    <w:p>
      <w:pPr>
        <w:pStyle w:val="Compact"/>
        <w:numPr>
          <w:ilvl w:val="0"/>
          <w:numId w:val="1071"/>
        </w:numPr>
      </w:pPr>
      <w:r>
        <w:t xml:space="preserve">creado_por.</w:t>
      </w:r>
    </w:p>
    <w:p>
      <w:pPr>
        <w:pStyle w:val="Compact"/>
        <w:numPr>
          <w:ilvl w:val="0"/>
          <w:numId w:val="1071"/>
        </w:numPr>
      </w:pPr>
      <w:r>
        <w:t xml:space="preserve">identificación local.</w:t>
      </w:r>
    </w:p>
    <w:p>
      <w:pPr>
        <w:pStyle w:val="Compact"/>
        <w:numPr>
          <w:ilvl w:val="0"/>
          <w:numId w:val="1071"/>
        </w:numPr>
      </w:pPr>
      <w:r>
        <w:t xml:space="preserve">nombre o código.</w:t>
      </w:r>
    </w:p>
    <w:p>
      <w:pPr>
        <w:pStyle w:val="Compact"/>
        <w:numPr>
          <w:ilvl w:val="0"/>
          <w:numId w:val="1071"/>
        </w:numPr>
      </w:pPr>
      <w:r>
        <w:t xml:space="preserve">edad.</w:t>
      </w:r>
    </w:p>
    <w:p>
      <w:pPr>
        <w:pStyle w:val="Compact"/>
        <w:numPr>
          <w:ilvl w:val="0"/>
          <w:numId w:val="1071"/>
        </w:numPr>
      </w:pPr>
      <w:r>
        <w:t xml:space="preserve">sexo.</w:t>
      </w:r>
    </w:p>
    <w:p>
      <w:pPr>
        <w:pStyle w:val="Compact"/>
        <w:numPr>
          <w:ilvl w:val="0"/>
          <w:numId w:val="1071"/>
        </w:numPr>
      </w:pPr>
      <w:r>
        <w:t xml:space="preserve">peso.</w:t>
      </w:r>
    </w:p>
    <w:p>
      <w:pPr>
        <w:pStyle w:val="Compact"/>
        <w:numPr>
          <w:ilvl w:val="0"/>
          <w:numId w:val="1071"/>
        </w:numPr>
      </w:pPr>
      <w:r>
        <w:t xml:space="preserve">talla.</w:t>
      </w:r>
    </w:p>
    <w:p>
      <w:pPr>
        <w:pStyle w:val="Compact"/>
        <w:numPr>
          <w:ilvl w:val="0"/>
          <w:numId w:val="1071"/>
        </w:numPr>
      </w:pPr>
      <w:r>
        <w:t xml:space="preserve">servicio.</w:t>
      </w:r>
    </w:p>
    <w:p>
      <w:pPr>
        <w:pStyle w:val="Compact"/>
        <w:numPr>
          <w:ilvl w:val="0"/>
          <w:numId w:val="1071"/>
        </w:numPr>
      </w:pPr>
      <w:r>
        <w:t xml:space="preserve">ubicación.</w:t>
      </w:r>
    </w:p>
    <w:p>
      <w:pPr>
        <w:pStyle w:val="Compact"/>
        <w:numPr>
          <w:ilvl w:val="0"/>
          <w:numId w:val="1071"/>
        </w:numPr>
      </w:pPr>
      <w:r>
        <w:t xml:space="preserve">estado clínico.</w:t>
      </w:r>
    </w:p>
    <w:p>
      <w:pPr>
        <w:pStyle w:val="Compact"/>
        <w:numPr>
          <w:ilvl w:val="0"/>
          <w:numId w:val="1071"/>
        </w:numPr>
      </w:pPr>
      <w:r>
        <w:t xml:space="preserve">comorbilidades.</w:t>
      </w:r>
    </w:p>
    <w:p>
      <w:pPr>
        <w:pStyle w:val="Compact"/>
        <w:numPr>
          <w:ilvl w:val="0"/>
          <w:numId w:val="1071"/>
        </w:numPr>
      </w:pPr>
      <w:r>
        <w:t xml:space="preserve">medicamentos relevantes.</w:t>
      </w:r>
    </w:p>
    <w:p>
      <w:pPr>
        <w:pStyle w:val="Compact"/>
        <w:numPr>
          <w:ilvl w:val="0"/>
          <w:numId w:val="1071"/>
        </w:numPr>
      </w:pPr>
      <w:r>
        <w:t xml:space="preserve">activo o cerrado.</w:t>
      </w:r>
    </w:p>
    <w:p>
      <w:pPr>
        <w:pStyle w:val="Compact"/>
        <w:numPr>
          <w:ilvl w:val="0"/>
          <w:numId w:val="1071"/>
        </w:numPr>
      </w:pPr>
      <w:r>
        <w:t xml:space="preserve">fecha de creación.</w:t>
      </w:r>
    </w:p>
    <w:bookmarkEnd w:id="129"/>
    <w:bookmarkStart w:id="130" w:name="laboratorios"/>
    <w:p>
      <w:pPr>
        <w:pStyle w:val="Heading3"/>
      </w:pPr>
      <w:r>
        <w:t xml:space="preserve">27.4 Laboratorios</w:t>
      </w:r>
    </w:p>
    <w:p>
      <w:pPr>
        <w:pStyle w:val="FirstParagraph"/>
      </w:pPr>
      <w:r>
        <w:t xml:space="preserve">Campos:</w:t>
      </w:r>
    </w:p>
    <w:p>
      <w:pPr>
        <w:pStyle w:val="Compact"/>
        <w:numPr>
          <w:ilvl w:val="0"/>
          <w:numId w:val="1072"/>
        </w:numPr>
      </w:pPr>
      <w:r>
        <w:t xml:space="preserve">id.</w:t>
      </w:r>
    </w:p>
    <w:p>
      <w:pPr>
        <w:pStyle w:val="Compact"/>
        <w:numPr>
          <w:ilvl w:val="0"/>
          <w:numId w:val="1072"/>
        </w:numPr>
      </w:pPr>
      <w:r>
        <w:t xml:space="preserve">paciente_id.</w:t>
      </w:r>
    </w:p>
    <w:p>
      <w:pPr>
        <w:pStyle w:val="Compact"/>
        <w:numPr>
          <w:ilvl w:val="0"/>
          <w:numId w:val="1072"/>
        </w:numPr>
      </w:pPr>
      <w:r>
        <w:t xml:space="preserve">fecha_hora.</w:t>
      </w:r>
    </w:p>
    <w:p>
      <w:pPr>
        <w:pStyle w:val="Compact"/>
        <w:numPr>
          <w:ilvl w:val="0"/>
          <w:numId w:val="1072"/>
        </w:numPr>
      </w:pPr>
      <w:r>
        <w:t xml:space="preserve">sodio.</w:t>
      </w:r>
    </w:p>
    <w:p>
      <w:pPr>
        <w:pStyle w:val="Compact"/>
        <w:numPr>
          <w:ilvl w:val="0"/>
          <w:numId w:val="1072"/>
        </w:numPr>
      </w:pPr>
      <w:r>
        <w:t xml:space="preserve">potasio.</w:t>
      </w:r>
    </w:p>
    <w:p>
      <w:pPr>
        <w:pStyle w:val="Compact"/>
        <w:numPr>
          <w:ilvl w:val="0"/>
          <w:numId w:val="1072"/>
        </w:numPr>
      </w:pPr>
      <w:r>
        <w:t xml:space="preserve">cloro.</w:t>
      </w:r>
    </w:p>
    <w:p>
      <w:pPr>
        <w:pStyle w:val="Compact"/>
        <w:numPr>
          <w:ilvl w:val="0"/>
          <w:numId w:val="1072"/>
        </w:numPr>
      </w:pPr>
      <w:r>
        <w:t xml:space="preserve">magnesio.</w:t>
      </w:r>
    </w:p>
    <w:p>
      <w:pPr>
        <w:pStyle w:val="Compact"/>
        <w:numPr>
          <w:ilvl w:val="0"/>
          <w:numId w:val="1072"/>
        </w:numPr>
      </w:pPr>
      <w:r>
        <w:t xml:space="preserve">fósforo.</w:t>
      </w:r>
    </w:p>
    <w:p>
      <w:pPr>
        <w:pStyle w:val="Compact"/>
        <w:numPr>
          <w:ilvl w:val="0"/>
          <w:numId w:val="1072"/>
        </w:numPr>
      </w:pPr>
      <w:r>
        <w:t xml:space="preserve">calcio_total.</w:t>
      </w:r>
    </w:p>
    <w:p>
      <w:pPr>
        <w:pStyle w:val="Compact"/>
        <w:numPr>
          <w:ilvl w:val="0"/>
          <w:numId w:val="1072"/>
        </w:numPr>
      </w:pPr>
      <w:r>
        <w:t xml:space="preserve">calcio_ionizado.</w:t>
      </w:r>
    </w:p>
    <w:p>
      <w:pPr>
        <w:pStyle w:val="Compact"/>
        <w:numPr>
          <w:ilvl w:val="0"/>
          <w:numId w:val="1072"/>
        </w:numPr>
      </w:pPr>
      <w:r>
        <w:t xml:space="preserve">albúmina.</w:t>
      </w:r>
    </w:p>
    <w:p>
      <w:pPr>
        <w:pStyle w:val="Compact"/>
        <w:numPr>
          <w:ilvl w:val="0"/>
          <w:numId w:val="1072"/>
        </w:numPr>
      </w:pPr>
      <w:r>
        <w:t xml:space="preserve">glucosa.</w:t>
      </w:r>
    </w:p>
    <w:p>
      <w:pPr>
        <w:pStyle w:val="Compact"/>
        <w:numPr>
          <w:ilvl w:val="0"/>
          <w:numId w:val="1072"/>
        </w:numPr>
      </w:pPr>
      <w:r>
        <w:t xml:space="preserve">creatinina.</w:t>
      </w:r>
    </w:p>
    <w:p>
      <w:pPr>
        <w:pStyle w:val="Compact"/>
        <w:numPr>
          <w:ilvl w:val="0"/>
          <w:numId w:val="1072"/>
        </w:numPr>
      </w:pPr>
      <w:r>
        <w:t xml:space="preserve">urea.</w:t>
      </w:r>
    </w:p>
    <w:p>
      <w:pPr>
        <w:pStyle w:val="Compact"/>
        <w:numPr>
          <w:ilvl w:val="0"/>
          <w:numId w:val="1072"/>
        </w:numPr>
      </w:pPr>
      <w:r>
        <w:t xml:space="preserve">bun.</w:t>
      </w:r>
    </w:p>
    <w:p>
      <w:pPr>
        <w:pStyle w:val="Compact"/>
        <w:numPr>
          <w:ilvl w:val="0"/>
          <w:numId w:val="1072"/>
        </w:numPr>
      </w:pPr>
      <w:r>
        <w:t xml:space="preserve">pH.</w:t>
      </w:r>
    </w:p>
    <w:p>
      <w:pPr>
        <w:pStyle w:val="Compact"/>
        <w:numPr>
          <w:ilvl w:val="0"/>
          <w:numId w:val="1072"/>
        </w:numPr>
      </w:pPr>
      <w:r>
        <w:t xml:space="preserve">bicarbonato.</w:t>
      </w:r>
    </w:p>
    <w:p>
      <w:pPr>
        <w:pStyle w:val="Compact"/>
        <w:numPr>
          <w:ilvl w:val="0"/>
          <w:numId w:val="1072"/>
        </w:numPr>
      </w:pPr>
      <w:r>
        <w:t xml:space="preserve">osmolaridad_sérica.</w:t>
      </w:r>
    </w:p>
    <w:p>
      <w:pPr>
        <w:pStyle w:val="Compact"/>
        <w:numPr>
          <w:ilvl w:val="0"/>
          <w:numId w:val="1072"/>
        </w:numPr>
      </w:pPr>
      <w:r>
        <w:t xml:space="preserve">osmolaridad_urinaria.</w:t>
      </w:r>
    </w:p>
    <w:p>
      <w:pPr>
        <w:pStyle w:val="Compact"/>
        <w:numPr>
          <w:ilvl w:val="0"/>
          <w:numId w:val="1072"/>
        </w:numPr>
      </w:pPr>
      <w:r>
        <w:t xml:space="preserve">sodio_urinario.</w:t>
      </w:r>
    </w:p>
    <w:p>
      <w:pPr>
        <w:pStyle w:val="Compact"/>
        <w:numPr>
          <w:ilvl w:val="0"/>
          <w:numId w:val="1072"/>
        </w:numPr>
      </w:pPr>
      <w:r>
        <w:t xml:space="preserve">potasio_urinario.</w:t>
      </w:r>
    </w:p>
    <w:p>
      <w:pPr>
        <w:pStyle w:val="Compact"/>
        <w:numPr>
          <w:ilvl w:val="0"/>
          <w:numId w:val="1072"/>
        </w:numPr>
      </w:pPr>
      <w:r>
        <w:t xml:space="preserve">fósforo_urinario.</w:t>
      </w:r>
    </w:p>
    <w:p>
      <w:pPr>
        <w:pStyle w:val="Compact"/>
        <w:numPr>
          <w:ilvl w:val="0"/>
          <w:numId w:val="1072"/>
        </w:numPr>
      </w:pPr>
      <w:r>
        <w:t xml:space="preserve">otros.</w:t>
      </w:r>
    </w:p>
    <w:bookmarkEnd w:id="130"/>
    <w:bookmarkStart w:id="131" w:name="cálculos"/>
    <w:p>
      <w:pPr>
        <w:pStyle w:val="Heading3"/>
      </w:pPr>
      <w:r>
        <w:t xml:space="preserve">27.5 Cálculos</w:t>
      </w:r>
    </w:p>
    <w:p>
      <w:pPr>
        <w:pStyle w:val="FirstParagraph"/>
      </w:pPr>
      <w:r>
        <w:t xml:space="preserve">Campos:</w:t>
      </w:r>
    </w:p>
    <w:p>
      <w:pPr>
        <w:pStyle w:val="Compact"/>
        <w:numPr>
          <w:ilvl w:val="0"/>
          <w:numId w:val="1073"/>
        </w:numPr>
      </w:pPr>
      <w:r>
        <w:t xml:space="preserve">id.</w:t>
      </w:r>
    </w:p>
    <w:p>
      <w:pPr>
        <w:pStyle w:val="Compact"/>
        <w:numPr>
          <w:ilvl w:val="0"/>
          <w:numId w:val="1073"/>
        </w:numPr>
      </w:pPr>
      <w:r>
        <w:t xml:space="preserve">paciente_id.</w:t>
      </w:r>
    </w:p>
    <w:p>
      <w:pPr>
        <w:pStyle w:val="Compact"/>
        <w:numPr>
          <w:ilvl w:val="0"/>
          <w:numId w:val="1073"/>
        </w:numPr>
      </w:pPr>
      <w:r>
        <w:t xml:space="preserve">laboratorio_id.</w:t>
      </w:r>
    </w:p>
    <w:p>
      <w:pPr>
        <w:pStyle w:val="Compact"/>
        <w:numPr>
          <w:ilvl w:val="0"/>
          <w:numId w:val="1073"/>
        </w:numPr>
      </w:pPr>
      <w:r>
        <w:t xml:space="preserve">TFG_CKD_EPI.</w:t>
      </w:r>
    </w:p>
    <w:p>
      <w:pPr>
        <w:pStyle w:val="Compact"/>
        <w:numPr>
          <w:ilvl w:val="0"/>
          <w:numId w:val="1073"/>
        </w:numPr>
      </w:pPr>
      <w:r>
        <w:t xml:space="preserve">Cockcroft_Gault.</w:t>
      </w:r>
    </w:p>
    <w:p>
      <w:pPr>
        <w:pStyle w:val="Compact"/>
        <w:numPr>
          <w:ilvl w:val="0"/>
          <w:numId w:val="1073"/>
        </w:numPr>
      </w:pPr>
      <w:r>
        <w:t xml:space="preserve">sodio_corregido.</w:t>
      </w:r>
    </w:p>
    <w:p>
      <w:pPr>
        <w:pStyle w:val="Compact"/>
        <w:numPr>
          <w:ilvl w:val="0"/>
          <w:numId w:val="1073"/>
        </w:numPr>
      </w:pPr>
      <w:r>
        <w:t xml:space="preserve">calcio_corregido.</w:t>
      </w:r>
    </w:p>
    <w:p>
      <w:pPr>
        <w:pStyle w:val="Compact"/>
        <w:numPr>
          <w:ilvl w:val="0"/>
          <w:numId w:val="1073"/>
        </w:numPr>
      </w:pPr>
      <w:r>
        <w:t xml:space="preserve">osmolaridad_calculada.</w:t>
      </w:r>
    </w:p>
    <w:p>
      <w:pPr>
        <w:pStyle w:val="Compact"/>
        <w:numPr>
          <w:ilvl w:val="0"/>
          <w:numId w:val="1073"/>
        </w:numPr>
      </w:pPr>
      <w:r>
        <w:t xml:space="preserve">agua_corporal_total.</w:t>
      </w:r>
    </w:p>
    <w:p>
      <w:pPr>
        <w:pStyle w:val="Compact"/>
        <w:numPr>
          <w:ilvl w:val="0"/>
          <w:numId w:val="1073"/>
        </w:numPr>
      </w:pPr>
      <w:r>
        <w:t xml:space="preserve">déficit_agua_libre.</w:t>
      </w:r>
    </w:p>
    <w:p>
      <w:pPr>
        <w:pStyle w:val="Compact"/>
        <w:numPr>
          <w:ilvl w:val="0"/>
          <w:numId w:val="1073"/>
        </w:numPr>
      </w:pPr>
      <w:r>
        <w:t xml:space="preserve">velocidad_corrección.</w:t>
      </w:r>
    </w:p>
    <w:p>
      <w:pPr>
        <w:pStyle w:val="Compact"/>
        <w:numPr>
          <w:ilvl w:val="0"/>
          <w:numId w:val="1073"/>
        </w:numPr>
      </w:pPr>
      <w:r>
        <w:t xml:space="preserve">alertas_generadas.</w:t>
      </w:r>
    </w:p>
    <w:bookmarkEnd w:id="131"/>
    <w:bookmarkStart w:id="132" w:name="órdenes-sugeridas-1"/>
    <w:p>
      <w:pPr>
        <w:pStyle w:val="Heading3"/>
      </w:pPr>
      <w:r>
        <w:t xml:space="preserve">27.6 Órdenes sugeridas</w:t>
      </w:r>
    </w:p>
    <w:p>
      <w:pPr>
        <w:pStyle w:val="FirstParagraph"/>
      </w:pPr>
      <w:r>
        <w:t xml:space="preserve">Campos:</w:t>
      </w:r>
    </w:p>
    <w:p>
      <w:pPr>
        <w:pStyle w:val="Compact"/>
        <w:numPr>
          <w:ilvl w:val="0"/>
          <w:numId w:val="1074"/>
        </w:numPr>
      </w:pPr>
      <w:r>
        <w:t xml:space="preserve">id.</w:t>
      </w:r>
    </w:p>
    <w:p>
      <w:pPr>
        <w:pStyle w:val="Compact"/>
        <w:numPr>
          <w:ilvl w:val="0"/>
          <w:numId w:val="1074"/>
        </w:numPr>
      </w:pPr>
      <w:r>
        <w:t xml:space="preserve">paciente_id.</w:t>
      </w:r>
    </w:p>
    <w:p>
      <w:pPr>
        <w:pStyle w:val="Compact"/>
        <w:numPr>
          <w:ilvl w:val="0"/>
          <w:numId w:val="1074"/>
        </w:numPr>
      </w:pPr>
      <w:r>
        <w:t xml:space="preserve">laboratorio_id.</w:t>
      </w:r>
    </w:p>
    <w:p>
      <w:pPr>
        <w:pStyle w:val="Compact"/>
        <w:numPr>
          <w:ilvl w:val="0"/>
          <w:numId w:val="1074"/>
        </w:numPr>
      </w:pPr>
      <w:r>
        <w:t xml:space="preserve">trastorno.</w:t>
      </w:r>
    </w:p>
    <w:p>
      <w:pPr>
        <w:pStyle w:val="Compact"/>
        <w:numPr>
          <w:ilvl w:val="0"/>
          <w:numId w:val="1074"/>
        </w:numPr>
      </w:pPr>
      <w:r>
        <w:t xml:space="preserve">severidad.</w:t>
      </w:r>
    </w:p>
    <w:p>
      <w:pPr>
        <w:pStyle w:val="Compact"/>
        <w:numPr>
          <w:ilvl w:val="0"/>
          <w:numId w:val="1074"/>
        </w:numPr>
      </w:pPr>
      <w:r>
        <w:t xml:space="preserve">orden_sugerida.</w:t>
      </w:r>
    </w:p>
    <w:p>
      <w:pPr>
        <w:pStyle w:val="Compact"/>
        <w:numPr>
          <w:ilvl w:val="0"/>
          <w:numId w:val="1074"/>
        </w:numPr>
      </w:pPr>
      <w:r>
        <w:t xml:space="preserve">orden_editada.</w:t>
      </w:r>
    </w:p>
    <w:p>
      <w:pPr>
        <w:pStyle w:val="Compact"/>
        <w:numPr>
          <w:ilvl w:val="0"/>
          <w:numId w:val="1074"/>
        </w:numPr>
      </w:pPr>
      <w:r>
        <w:t xml:space="preserve">copiada.</w:t>
      </w:r>
    </w:p>
    <w:p>
      <w:pPr>
        <w:pStyle w:val="Compact"/>
        <w:numPr>
          <w:ilvl w:val="0"/>
          <w:numId w:val="1074"/>
        </w:numPr>
      </w:pPr>
      <w:r>
        <w:t xml:space="preserve">guardada.</w:t>
      </w:r>
    </w:p>
    <w:p>
      <w:pPr>
        <w:pStyle w:val="Compact"/>
        <w:numPr>
          <w:ilvl w:val="0"/>
          <w:numId w:val="1074"/>
        </w:numPr>
      </w:pPr>
      <w:r>
        <w:t xml:space="preserve">usuario.</w:t>
      </w:r>
    </w:p>
    <w:p>
      <w:pPr>
        <w:pStyle w:val="Compact"/>
        <w:numPr>
          <w:ilvl w:val="0"/>
          <w:numId w:val="1074"/>
        </w:numPr>
      </w:pPr>
      <w:r>
        <w:t xml:space="preserve">fecha_hora.</w:t>
      </w:r>
    </w:p>
    <w:p>
      <w:pPr>
        <w:pStyle w:val="Compact"/>
        <w:numPr>
          <w:ilvl w:val="0"/>
          <w:numId w:val="1074"/>
        </w:numPr>
      </w:pPr>
      <w:r>
        <w:t xml:space="preserve">alertas.</w:t>
      </w:r>
    </w:p>
    <w:p>
      <w:pPr>
        <w:pStyle w:val="Compact"/>
        <w:numPr>
          <w:ilvl w:val="0"/>
          <w:numId w:val="1074"/>
        </w:numPr>
      </w:pPr>
      <w:r>
        <w:t xml:space="preserve">estado.</w:t>
      </w:r>
    </w:p>
    <w:bookmarkEnd w:id="132"/>
    <w:bookmarkStart w:id="133" w:name="seguimiento-1"/>
    <w:p>
      <w:pPr>
        <w:pStyle w:val="Heading3"/>
      </w:pPr>
      <w:r>
        <w:t xml:space="preserve">27.7 Seguimiento</w:t>
      </w:r>
    </w:p>
    <w:p>
      <w:pPr>
        <w:pStyle w:val="FirstParagraph"/>
      </w:pPr>
      <w:r>
        <w:t xml:space="preserve">Campos:</w:t>
      </w:r>
    </w:p>
    <w:p>
      <w:pPr>
        <w:pStyle w:val="Compact"/>
        <w:numPr>
          <w:ilvl w:val="0"/>
          <w:numId w:val="1075"/>
        </w:numPr>
      </w:pPr>
      <w:r>
        <w:t xml:space="preserve">id.</w:t>
      </w:r>
    </w:p>
    <w:p>
      <w:pPr>
        <w:pStyle w:val="Compact"/>
        <w:numPr>
          <w:ilvl w:val="0"/>
          <w:numId w:val="1075"/>
        </w:numPr>
      </w:pPr>
      <w:r>
        <w:t xml:space="preserve">paciente_id.</w:t>
      </w:r>
    </w:p>
    <w:p>
      <w:pPr>
        <w:pStyle w:val="Compact"/>
        <w:numPr>
          <w:ilvl w:val="0"/>
          <w:numId w:val="1075"/>
        </w:numPr>
      </w:pPr>
      <w:r>
        <w:t xml:space="preserve">fecha_hora.</w:t>
      </w:r>
    </w:p>
    <w:p>
      <w:pPr>
        <w:pStyle w:val="Compact"/>
        <w:numPr>
          <w:ilvl w:val="0"/>
          <w:numId w:val="1075"/>
        </w:numPr>
      </w:pPr>
      <w:r>
        <w:t xml:space="preserve">resumen.</w:t>
      </w:r>
    </w:p>
    <w:p>
      <w:pPr>
        <w:pStyle w:val="Compact"/>
        <w:numPr>
          <w:ilvl w:val="0"/>
          <w:numId w:val="1075"/>
        </w:numPr>
      </w:pPr>
      <w:r>
        <w:t xml:space="preserve">laboratorios.</w:t>
      </w:r>
    </w:p>
    <w:p>
      <w:pPr>
        <w:pStyle w:val="Compact"/>
        <w:numPr>
          <w:ilvl w:val="0"/>
          <w:numId w:val="1075"/>
        </w:numPr>
      </w:pPr>
      <w:r>
        <w:t xml:space="preserve">plan.</w:t>
      </w:r>
    </w:p>
    <w:p>
      <w:pPr>
        <w:pStyle w:val="Compact"/>
        <w:numPr>
          <w:ilvl w:val="0"/>
          <w:numId w:val="1075"/>
        </w:numPr>
      </w:pPr>
      <w:r>
        <w:t xml:space="preserve">alertas.</w:t>
      </w:r>
    </w:p>
    <w:p>
      <w:pPr>
        <w:pStyle w:val="Compact"/>
        <w:numPr>
          <w:ilvl w:val="0"/>
          <w:numId w:val="1075"/>
        </w:numPr>
      </w:pPr>
      <w:r>
        <w:t xml:space="preserve">próximo_control.</w:t>
      </w:r>
    </w:p>
    <w:p>
      <w:pPr>
        <w:pStyle w:val="Compact"/>
        <w:numPr>
          <w:ilvl w:val="0"/>
          <w:numId w:val="1075"/>
        </w:numPr>
      </w:pPr>
      <w:r>
        <w:t xml:space="preserve">usuario.</w:t>
      </w:r>
    </w:p>
    <w:bookmarkEnd w:id="133"/>
    <w:bookmarkEnd w:id="134"/>
    <w:bookmarkStart w:id="142" w:name="api-backend-sugerida"/>
    <w:p>
      <w:pPr>
        <w:pStyle w:val="Heading2"/>
      </w:pPr>
      <w:r>
        <w:t xml:space="preserve">28. API backend sugerida</w:t>
      </w:r>
    </w:p>
    <w:bookmarkStart w:id="135" w:name="autenticación"/>
    <w:p>
      <w:pPr>
        <w:pStyle w:val="Heading3"/>
      </w:pPr>
      <w:r>
        <w:t xml:space="preserve">28.1 Autenticación</w:t>
      </w:r>
    </w:p>
    <w:p>
      <w:pPr>
        <w:pStyle w:val="Compact"/>
        <w:numPr>
          <w:ilvl w:val="0"/>
          <w:numId w:val="1076"/>
        </w:numPr>
      </w:pPr>
      <w:r>
        <w:t xml:space="preserve">POST /api/auth/register</w:t>
      </w:r>
    </w:p>
    <w:p>
      <w:pPr>
        <w:pStyle w:val="Compact"/>
        <w:numPr>
          <w:ilvl w:val="0"/>
          <w:numId w:val="1076"/>
        </w:numPr>
      </w:pPr>
      <w:r>
        <w:t xml:space="preserve">POST /api/auth/login</w:t>
      </w:r>
    </w:p>
    <w:p>
      <w:pPr>
        <w:pStyle w:val="Compact"/>
        <w:numPr>
          <w:ilvl w:val="0"/>
          <w:numId w:val="1076"/>
        </w:numPr>
      </w:pPr>
      <w:r>
        <w:t xml:space="preserve">POST /api/auth/logout</w:t>
      </w:r>
    </w:p>
    <w:p>
      <w:pPr>
        <w:pStyle w:val="Compact"/>
        <w:numPr>
          <w:ilvl w:val="0"/>
          <w:numId w:val="1076"/>
        </w:numPr>
      </w:pPr>
      <w:r>
        <w:t xml:space="preserve">POST /api/auth/change-password</w:t>
      </w:r>
    </w:p>
    <w:p>
      <w:pPr>
        <w:pStyle w:val="Compact"/>
        <w:numPr>
          <w:ilvl w:val="0"/>
          <w:numId w:val="1076"/>
        </w:numPr>
      </w:pPr>
      <w:r>
        <w:t xml:space="preserve">GET /api/auth/me</w:t>
      </w:r>
    </w:p>
    <w:bookmarkEnd w:id="135"/>
    <w:bookmarkStart w:id="136" w:name="institución"/>
    <w:p>
      <w:pPr>
        <w:pStyle w:val="Heading3"/>
      </w:pPr>
      <w:r>
        <w:t xml:space="preserve">28.2 Institución</w:t>
      </w:r>
    </w:p>
    <w:p>
      <w:pPr>
        <w:pStyle w:val="Compact"/>
        <w:numPr>
          <w:ilvl w:val="0"/>
          <w:numId w:val="1077"/>
        </w:numPr>
      </w:pPr>
      <w:r>
        <w:t xml:space="preserve">GET /api/institution</w:t>
      </w:r>
    </w:p>
    <w:p>
      <w:pPr>
        <w:pStyle w:val="Compact"/>
        <w:numPr>
          <w:ilvl w:val="0"/>
          <w:numId w:val="1077"/>
        </w:numPr>
      </w:pPr>
      <w:r>
        <w:t xml:space="preserve">POST /api/institution</w:t>
      </w:r>
    </w:p>
    <w:p>
      <w:pPr>
        <w:pStyle w:val="Compact"/>
        <w:numPr>
          <w:ilvl w:val="0"/>
          <w:numId w:val="1077"/>
        </w:numPr>
      </w:pPr>
      <w:r>
        <w:t xml:space="preserve">PUT /api/institution/:id</w:t>
      </w:r>
    </w:p>
    <w:p>
      <w:pPr>
        <w:pStyle w:val="Compact"/>
        <w:numPr>
          <w:ilvl w:val="0"/>
          <w:numId w:val="1077"/>
        </w:numPr>
      </w:pPr>
      <w:r>
        <w:t xml:space="preserve">PUT /api/institution/:id/settings</w:t>
      </w:r>
    </w:p>
    <w:bookmarkEnd w:id="136"/>
    <w:bookmarkStart w:id="137" w:name="pacientes-1"/>
    <w:p>
      <w:pPr>
        <w:pStyle w:val="Heading3"/>
      </w:pPr>
      <w:r>
        <w:t xml:space="preserve">28.3 Pacientes</w:t>
      </w:r>
    </w:p>
    <w:p>
      <w:pPr>
        <w:pStyle w:val="Compact"/>
        <w:numPr>
          <w:ilvl w:val="0"/>
          <w:numId w:val="1078"/>
        </w:numPr>
      </w:pPr>
      <w:r>
        <w:t xml:space="preserve">GET /api/patients</w:t>
      </w:r>
    </w:p>
    <w:p>
      <w:pPr>
        <w:pStyle w:val="Compact"/>
        <w:numPr>
          <w:ilvl w:val="0"/>
          <w:numId w:val="1078"/>
        </w:numPr>
      </w:pPr>
      <w:r>
        <w:t xml:space="preserve">POST /api/patients</w:t>
      </w:r>
    </w:p>
    <w:p>
      <w:pPr>
        <w:pStyle w:val="Compact"/>
        <w:numPr>
          <w:ilvl w:val="0"/>
          <w:numId w:val="1078"/>
        </w:numPr>
      </w:pPr>
      <w:r>
        <w:t xml:space="preserve">GET /api/patients/:id</w:t>
      </w:r>
    </w:p>
    <w:p>
      <w:pPr>
        <w:pStyle w:val="Compact"/>
        <w:numPr>
          <w:ilvl w:val="0"/>
          <w:numId w:val="1078"/>
        </w:numPr>
      </w:pPr>
      <w:r>
        <w:t xml:space="preserve">PUT /api/patients/:id</w:t>
      </w:r>
    </w:p>
    <w:p>
      <w:pPr>
        <w:pStyle w:val="Compact"/>
        <w:numPr>
          <w:ilvl w:val="0"/>
          <w:numId w:val="1078"/>
        </w:numPr>
      </w:pPr>
      <w:r>
        <w:t xml:space="preserve">DELETE /api/patients/:id</w:t>
      </w:r>
    </w:p>
    <w:p>
      <w:pPr>
        <w:pStyle w:val="Compact"/>
        <w:numPr>
          <w:ilvl w:val="0"/>
          <w:numId w:val="1078"/>
        </w:numPr>
      </w:pPr>
      <w:r>
        <w:t xml:space="preserve">POST /api/patients/:id/close</w:t>
      </w:r>
    </w:p>
    <w:bookmarkEnd w:id="137"/>
    <w:bookmarkStart w:id="138" w:name="laboratorios-1"/>
    <w:p>
      <w:pPr>
        <w:pStyle w:val="Heading3"/>
      </w:pPr>
      <w:r>
        <w:t xml:space="preserve">28.4 Laboratorios</w:t>
      </w:r>
    </w:p>
    <w:p>
      <w:pPr>
        <w:pStyle w:val="Compact"/>
        <w:numPr>
          <w:ilvl w:val="0"/>
          <w:numId w:val="1079"/>
        </w:numPr>
      </w:pPr>
      <w:r>
        <w:t xml:space="preserve">GET /api/patients/:id/labs</w:t>
      </w:r>
    </w:p>
    <w:p>
      <w:pPr>
        <w:pStyle w:val="Compact"/>
        <w:numPr>
          <w:ilvl w:val="0"/>
          <w:numId w:val="1079"/>
        </w:numPr>
      </w:pPr>
      <w:r>
        <w:t xml:space="preserve">POST /api/patients/:id/labs</w:t>
      </w:r>
    </w:p>
    <w:p>
      <w:pPr>
        <w:pStyle w:val="Compact"/>
        <w:numPr>
          <w:ilvl w:val="0"/>
          <w:numId w:val="1079"/>
        </w:numPr>
      </w:pPr>
      <w:r>
        <w:t xml:space="preserve">GET /api/labs/:id</w:t>
      </w:r>
    </w:p>
    <w:p>
      <w:pPr>
        <w:pStyle w:val="Compact"/>
        <w:numPr>
          <w:ilvl w:val="0"/>
          <w:numId w:val="1079"/>
        </w:numPr>
      </w:pPr>
      <w:r>
        <w:t xml:space="preserve">PUT /api/labs/:id</w:t>
      </w:r>
    </w:p>
    <w:bookmarkEnd w:id="138"/>
    <w:bookmarkStart w:id="139" w:name="cálculos-1"/>
    <w:p>
      <w:pPr>
        <w:pStyle w:val="Heading3"/>
      </w:pPr>
      <w:r>
        <w:t xml:space="preserve">28.5 Cálculos</w:t>
      </w:r>
    </w:p>
    <w:p>
      <w:pPr>
        <w:pStyle w:val="Compact"/>
        <w:numPr>
          <w:ilvl w:val="0"/>
          <w:numId w:val="1080"/>
        </w:numPr>
      </w:pPr>
      <w:r>
        <w:t xml:space="preserve">POST /api/calculate/renal</w:t>
      </w:r>
    </w:p>
    <w:p>
      <w:pPr>
        <w:pStyle w:val="Compact"/>
        <w:numPr>
          <w:ilvl w:val="0"/>
          <w:numId w:val="1080"/>
        </w:numPr>
      </w:pPr>
      <w:r>
        <w:t xml:space="preserve">POST /api/calculate/sodium</w:t>
      </w:r>
    </w:p>
    <w:p>
      <w:pPr>
        <w:pStyle w:val="Compact"/>
        <w:numPr>
          <w:ilvl w:val="0"/>
          <w:numId w:val="1080"/>
        </w:numPr>
      </w:pPr>
      <w:r>
        <w:t xml:space="preserve">POST /api/calculate/potassium</w:t>
      </w:r>
    </w:p>
    <w:p>
      <w:pPr>
        <w:pStyle w:val="Compact"/>
        <w:numPr>
          <w:ilvl w:val="0"/>
          <w:numId w:val="1080"/>
        </w:numPr>
      </w:pPr>
      <w:r>
        <w:t xml:space="preserve">POST /api/calculate/magnesium</w:t>
      </w:r>
    </w:p>
    <w:p>
      <w:pPr>
        <w:pStyle w:val="Compact"/>
        <w:numPr>
          <w:ilvl w:val="0"/>
          <w:numId w:val="1080"/>
        </w:numPr>
      </w:pPr>
      <w:r>
        <w:t xml:space="preserve">POST /api/calculate/phosphorus</w:t>
      </w:r>
    </w:p>
    <w:p>
      <w:pPr>
        <w:pStyle w:val="Compact"/>
        <w:numPr>
          <w:ilvl w:val="0"/>
          <w:numId w:val="1080"/>
        </w:numPr>
      </w:pPr>
      <w:r>
        <w:t xml:space="preserve">POST /api/calculate/calcium</w:t>
      </w:r>
    </w:p>
    <w:p>
      <w:pPr>
        <w:pStyle w:val="Compact"/>
        <w:numPr>
          <w:ilvl w:val="0"/>
          <w:numId w:val="1080"/>
        </w:numPr>
      </w:pPr>
      <w:r>
        <w:t xml:space="preserve">POST /api/calculate/hypercalcemia-malignancy</w:t>
      </w:r>
    </w:p>
    <w:bookmarkEnd w:id="139"/>
    <w:bookmarkStart w:id="140" w:name="órdenes"/>
    <w:p>
      <w:pPr>
        <w:pStyle w:val="Heading3"/>
      </w:pPr>
      <w:r>
        <w:t xml:space="preserve">28.6 Órdenes</w:t>
      </w:r>
    </w:p>
    <w:p>
      <w:pPr>
        <w:pStyle w:val="Compact"/>
        <w:numPr>
          <w:ilvl w:val="0"/>
          <w:numId w:val="1081"/>
        </w:numPr>
      </w:pPr>
      <w:r>
        <w:t xml:space="preserve">POST /api/orders/generate</w:t>
      </w:r>
    </w:p>
    <w:p>
      <w:pPr>
        <w:pStyle w:val="Compact"/>
        <w:numPr>
          <w:ilvl w:val="0"/>
          <w:numId w:val="1081"/>
        </w:numPr>
      </w:pPr>
      <w:r>
        <w:t xml:space="preserve">GET /api/patients/:id/orders</w:t>
      </w:r>
    </w:p>
    <w:p>
      <w:pPr>
        <w:pStyle w:val="Compact"/>
        <w:numPr>
          <w:ilvl w:val="0"/>
          <w:numId w:val="1081"/>
        </w:numPr>
      </w:pPr>
      <w:r>
        <w:t xml:space="preserve">PUT /api/orders/:id/edit</w:t>
      </w:r>
    </w:p>
    <w:p>
      <w:pPr>
        <w:pStyle w:val="Compact"/>
        <w:numPr>
          <w:ilvl w:val="0"/>
          <w:numId w:val="1081"/>
        </w:numPr>
      </w:pPr>
      <w:r>
        <w:t xml:space="preserve">POST /api/orders/:id/copy</w:t>
      </w:r>
    </w:p>
    <w:p>
      <w:pPr>
        <w:pStyle w:val="Compact"/>
        <w:numPr>
          <w:ilvl w:val="0"/>
          <w:numId w:val="1081"/>
        </w:numPr>
      </w:pPr>
      <w:r>
        <w:t xml:space="preserve">POST /api/orders/:id/mark-done</w:t>
      </w:r>
    </w:p>
    <w:bookmarkEnd w:id="140"/>
    <w:bookmarkStart w:id="141" w:name="seguimiento-2"/>
    <w:p>
      <w:pPr>
        <w:pStyle w:val="Heading3"/>
      </w:pPr>
      <w:r>
        <w:t xml:space="preserve">28.7 Seguimiento</w:t>
      </w:r>
    </w:p>
    <w:p>
      <w:pPr>
        <w:pStyle w:val="Compact"/>
        <w:numPr>
          <w:ilvl w:val="0"/>
          <w:numId w:val="1082"/>
        </w:numPr>
      </w:pPr>
      <w:r>
        <w:t xml:space="preserve">GET /api/patients/:id/followup</w:t>
      </w:r>
    </w:p>
    <w:p>
      <w:pPr>
        <w:pStyle w:val="Compact"/>
        <w:numPr>
          <w:ilvl w:val="0"/>
          <w:numId w:val="1082"/>
        </w:numPr>
      </w:pPr>
      <w:r>
        <w:t xml:space="preserve">POST /api/patients/:id/followup</w:t>
      </w:r>
    </w:p>
    <w:p>
      <w:pPr>
        <w:pStyle w:val="Compact"/>
        <w:numPr>
          <w:ilvl w:val="0"/>
          <w:numId w:val="1082"/>
        </w:numPr>
      </w:pPr>
      <w:r>
        <w:t xml:space="preserve">POST /api/patients/:id/recalculate</w:t>
      </w:r>
    </w:p>
    <w:bookmarkEnd w:id="141"/>
    <w:bookmarkEnd w:id="142"/>
    <w:bookmarkStart w:id="145" w:name="frontend-sugerido"/>
    <w:p>
      <w:pPr>
        <w:pStyle w:val="Heading2"/>
      </w:pPr>
      <w:r>
        <w:t xml:space="preserve">29. Frontend sugerido</w:t>
      </w:r>
    </w:p>
    <w:p>
      <w:pPr>
        <w:pStyle w:val="FirstParagraph"/>
      </w:pPr>
      <w:r>
        <w:t xml:space="preserve">La interfaz debe ser moderna, clínica y rápida. Debe priorizar lectura clara, tarjetas de riesgo, colores sobrios y botones de acción visibles.</w:t>
      </w:r>
    </w:p>
    <w:bookmarkStart w:id="143" w:name="componentes-principales"/>
    <w:p>
      <w:pPr>
        <w:pStyle w:val="Heading3"/>
      </w:pPr>
      <w:r>
        <w:t xml:space="preserve">29.1 Componentes principales</w:t>
      </w:r>
    </w:p>
    <w:p>
      <w:pPr>
        <w:pStyle w:val="Compact"/>
        <w:numPr>
          <w:ilvl w:val="0"/>
          <w:numId w:val="1083"/>
        </w:numPr>
      </w:pPr>
      <w:r>
        <w:t xml:space="preserve">Dashboard.</w:t>
      </w:r>
    </w:p>
    <w:p>
      <w:pPr>
        <w:pStyle w:val="Compact"/>
        <w:numPr>
          <w:ilvl w:val="0"/>
          <w:numId w:val="1083"/>
        </w:numPr>
      </w:pPr>
      <w:r>
        <w:t xml:space="preserve">PatientCard.</w:t>
      </w:r>
    </w:p>
    <w:p>
      <w:pPr>
        <w:pStyle w:val="Compact"/>
        <w:numPr>
          <w:ilvl w:val="0"/>
          <w:numId w:val="1083"/>
        </w:numPr>
      </w:pPr>
      <w:r>
        <w:t xml:space="preserve">ElectrolyteSummary.</w:t>
      </w:r>
    </w:p>
    <w:p>
      <w:pPr>
        <w:pStyle w:val="Compact"/>
        <w:numPr>
          <w:ilvl w:val="0"/>
          <w:numId w:val="1083"/>
        </w:numPr>
      </w:pPr>
      <w:r>
        <w:t xml:space="preserve">RiskBadge.</w:t>
      </w:r>
    </w:p>
    <w:p>
      <w:pPr>
        <w:pStyle w:val="Compact"/>
        <w:numPr>
          <w:ilvl w:val="0"/>
          <w:numId w:val="1083"/>
        </w:numPr>
      </w:pPr>
      <w:r>
        <w:t xml:space="preserve">LabInputForm.</w:t>
      </w:r>
    </w:p>
    <w:p>
      <w:pPr>
        <w:pStyle w:val="Compact"/>
        <w:numPr>
          <w:ilvl w:val="0"/>
          <w:numId w:val="1083"/>
        </w:numPr>
      </w:pPr>
      <w:r>
        <w:t xml:space="preserve">ComorbidityChecklist.</w:t>
      </w:r>
    </w:p>
    <w:p>
      <w:pPr>
        <w:pStyle w:val="Compact"/>
        <w:numPr>
          <w:ilvl w:val="0"/>
          <w:numId w:val="1083"/>
        </w:numPr>
      </w:pPr>
      <w:r>
        <w:t xml:space="preserve">MedicationChecklist.</w:t>
      </w:r>
    </w:p>
    <w:p>
      <w:pPr>
        <w:pStyle w:val="Compact"/>
        <w:numPr>
          <w:ilvl w:val="0"/>
          <w:numId w:val="1083"/>
        </w:numPr>
      </w:pPr>
      <w:r>
        <w:t xml:space="preserve">RenalCalculatorCard.</w:t>
      </w:r>
    </w:p>
    <w:p>
      <w:pPr>
        <w:pStyle w:val="Compact"/>
        <w:numPr>
          <w:ilvl w:val="0"/>
          <w:numId w:val="1083"/>
        </w:numPr>
      </w:pPr>
      <w:r>
        <w:t xml:space="preserve">SodiumModule.</w:t>
      </w:r>
    </w:p>
    <w:p>
      <w:pPr>
        <w:pStyle w:val="Compact"/>
        <w:numPr>
          <w:ilvl w:val="0"/>
          <w:numId w:val="1083"/>
        </w:numPr>
      </w:pPr>
      <w:r>
        <w:t xml:space="preserve">PotassiumModule.</w:t>
      </w:r>
    </w:p>
    <w:p>
      <w:pPr>
        <w:pStyle w:val="Compact"/>
        <w:numPr>
          <w:ilvl w:val="0"/>
          <w:numId w:val="1083"/>
        </w:numPr>
      </w:pPr>
      <w:r>
        <w:t xml:space="preserve">MagnesiumModule.</w:t>
      </w:r>
    </w:p>
    <w:p>
      <w:pPr>
        <w:pStyle w:val="Compact"/>
        <w:numPr>
          <w:ilvl w:val="0"/>
          <w:numId w:val="1083"/>
        </w:numPr>
      </w:pPr>
      <w:r>
        <w:t xml:space="preserve">PhosphorusModule.</w:t>
      </w:r>
    </w:p>
    <w:p>
      <w:pPr>
        <w:pStyle w:val="Compact"/>
        <w:numPr>
          <w:ilvl w:val="0"/>
          <w:numId w:val="1083"/>
        </w:numPr>
      </w:pPr>
      <w:r>
        <w:t xml:space="preserve">CalciumModule.</w:t>
      </w:r>
    </w:p>
    <w:p>
      <w:pPr>
        <w:pStyle w:val="Compact"/>
        <w:numPr>
          <w:ilvl w:val="0"/>
          <w:numId w:val="1083"/>
        </w:numPr>
      </w:pPr>
      <w:r>
        <w:t xml:space="preserve">MalignantHypercalcemiaModule.</w:t>
      </w:r>
    </w:p>
    <w:p>
      <w:pPr>
        <w:pStyle w:val="Compact"/>
        <w:numPr>
          <w:ilvl w:val="0"/>
          <w:numId w:val="1083"/>
        </w:numPr>
      </w:pPr>
      <w:r>
        <w:t xml:space="preserve">SuggestedOrderCard.</w:t>
      </w:r>
    </w:p>
    <w:p>
      <w:pPr>
        <w:pStyle w:val="Compact"/>
        <w:numPr>
          <w:ilvl w:val="0"/>
          <w:numId w:val="1083"/>
        </w:numPr>
      </w:pPr>
      <w:r>
        <w:t xml:space="preserve">AlertPanel.</w:t>
      </w:r>
    </w:p>
    <w:p>
      <w:pPr>
        <w:pStyle w:val="Compact"/>
        <w:numPr>
          <w:ilvl w:val="0"/>
          <w:numId w:val="1083"/>
        </w:numPr>
      </w:pPr>
      <w:r>
        <w:t xml:space="preserve">FollowUpTimeline.</w:t>
      </w:r>
    </w:p>
    <w:p>
      <w:pPr>
        <w:pStyle w:val="Compact"/>
        <w:numPr>
          <w:ilvl w:val="0"/>
          <w:numId w:val="1083"/>
        </w:numPr>
      </w:pPr>
      <w:r>
        <w:t xml:space="preserve">CopyOrderButton.</w:t>
      </w:r>
    </w:p>
    <w:p>
      <w:pPr>
        <w:pStyle w:val="Compact"/>
        <w:numPr>
          <w:ilvl w:val="0"/>
          <w:numId w:val="1083"/>
        </w:numPr>
      </w:pPr>
      <w:r>
        <w:t xml:space="preserve">EditableOrderModal.</w:t>
      </w:r>
    </w:p>
    <w:p>
      <w:pPr>
        <w:pStyle w:val="Compact"/>
        <w:numPr>
          <w:ilvl w:val="0"/>
          <w:numId w:val="1083"/>
        </w:numPr>
      </w:pPr>
      <w:r>
        <w:t xml:space="preserve">InstitutionSettings.</w:t>
      </w:r>
    </w:p>
    <w:bookmarkEnd w:id="143"/>
    <w:bookmarkStart w:id="144" w:name="experiencia-de-usuario"/>
    <w:p>
      <w:pPr>
        <w:pStyle w:val="Heading3"/>
      </w:pPr>
      <w:r>
        <w:t xml:space="preserve">29.2 Experiencia de usuario</w:t>
      </w:r>
    </w:p>
    <w:p>
      <w:pPr>
        <w:pStyle w:val="FirstParagraph"/>
      </w:pPr>
      <w:r>
        <w:t xml:space="preserve">La app debe permitir que un médico en turno pueda generar una orden en menos de 2 minutos si tiene los datos básicos.</w:t>
      </w:r>
    </w:p>
    <w:p>
      <w:pPr>
        <w:pStyle w:val="BodyText"/>
      </w:pPr>
      <w:r>
        <w:t xml:space="preserve">Debe evitar pantallas saturadas. Primero debe pedir datos mínimos. Luego debe abrir campos avanzados según necesidad.</w:t>
      </w:r>
    </w:p>
    <w:p>
      <w:pPr>
        <w:pStyle w:val="BodyText"/>
      </w:pPr>
      <w:r>
        <w:t xml:space="preserve">Ejemplo:</w:t>
      </w:r>
    </w:p>
    <w:p>
      <w:pPr>
        <w:pStyle w:val="BodyText"/>
      </w:pPr>
      <w:r>
        <w:t xml:space="preserve">Si el médico ingresa calcio elevado y marca cáncer activo, se abre el módulo de hipercalcemia maligna.</w:t>
      </w:r>
    </w:p>
    <w:p>
      <w:pPr>
        <w:pStyle w:val="BodyText"/>
      </w:pPr>
      <w:r>
        <w:t xml:space="preserve">Si el médico ingresa sodio menor de 120 y marca convulsión, se abre el módulo de hiponatremia severa sintomática.</w:t>
      </w:r>
    </w:p>
    <w:p>
      <w:pPr>
        <w:pStyle w:val="BodyText"/>
      </w:pPr>
      <w:r>
        <w:t xml:space="preserve">Si el médico ingresa potasio mayor de 6, se activa alerta de ECG y monitorización.</w:t>
      </w:r>
    </w:p>
    <w:bookmarkEnd w:id="144"/>
    <w:bookmarkEnd w:id="145"/>
    <w:bookmarkStart w:id="146" w:name="pwa-y-uso-clínico"/>
    <w:p>
      <w:pPr>
        <w:pStyle w:val="Heading2"/>
      </w:pPr>
      <w:r>
        <w:t xml:space="preserve">30. PWA y uso clínico</w:t>
      </w:r>
    </w:p>
    <w:p>
      <w:pPr>
        <w:pStyle w:val="FirstParagraph"/>
      </w:pPr>
      <w:r>
        <w:t xml:space="preserve">La app debe construirse como PWA instalable para computador y celular.</w:t>
      </w:r>
    </w:p>
    <w:p>
      <w:pPr>
        <w:pStyle w:val="BodyText"/>
      </w:pPr>
      <w:r>
        <w:t xml:space="preserve">Características PWA deseables:</w:t>
      </w:r>
    </w:p>
    <w:p>
      <w:pPr>
        <w:pStyle w:val="Compact"/>
        <w:numPr>
          <w:ilvl w:val="0"/>
          <w:numId w:val="1084"/>
        </w:numPr>
      </w:pPr>
      <w:r>
        <w:t xml:space="preserve">Instalación en celular.</w:t>
      </w:r>
    </w:p>
    <w:p>
      <w:pPr>
        <w:pStyle w:val="Compact"/>
        <w:numPr>
          <w:ilvl w:val="0"/>
          <w:numId w:val="1084"/>
        </w:numPr>
      </w:pPr>
      <w:r>
        <w:t xml:space="preserve">Acceso rápido desde pantalla principal.</w:t>
      </w:r>
    </w:p>
    <w:p>
      <w:pPr>
        <w:pStyle w:val="Compact"/>
        <w:numPr>
          <w:ilvl w:val="0"/>
          <w:numId w:val="1084"/>
        </w:numPr>
      </w:pPr>
      <w:r>
        <w:t xml:space="preserve">Diseño responsive.</w:t>
      </w:r>
    </w:p>
    <w:p>
      <w:pPr>
        <w:pStyle w:val="Compact"/>
        <w:numPr>
          <w:ilvl w:val="0"/>
          <w:numId w:val="1084"/>
        </w:numPr>
      </w:pPr>
      <w:r>
        <w:t xml:space="preserve">Modo oscuro.</w:t>
      </w:r>
    </w:p>
    <w:p>
      <w:pPr>
        <w:pStyle w:val="Compact"/>
        <w:numPr>
          <w:ilvl w:val="0"/>
          <w:numId w:val="1084"/>
        </w:numPr>
      </w:pPr>
      <w:r>
        <w:t xml:space="preserve">Ícono médico moderno.</w:t>
      </w:r>
    </w:p>
    <w:p>
      <w:pPr>
        <w:pStyle w:val="Compact"/>
        <w:numPr>
          <w:ilvl w:val="0"/>
          <w:numId w:val="1084"/>
        </w:numPr>
      </w:pPr>
      <w:r>
        <w:t xml:space="preserve">Cache de interfaz.</w:t>
      </w:r>
    </w:p>
    <w:p>
      <w:pPr>
        <w:pStyle w:val="Compact"/>
        <w:numPr>
          <w:ilvl w:val="0"/>
          <w:numId w:val="1084"/>
        </w:numPr>
      </w:pPr>
      <w:r>
        <w:t xml:space="preserve">Funcionamiento parcial offline para calculadoras básicas.</w:t>
      </w:r>
    </w:p>
    <w:p>
      <w:pPr>
        <w:pStyle w:val="Compact"/>
        <w:numPr>
          <w:ilvl w:val="0"/>
          <w:numId w:val="1084"/>
        </w:numPr>
      </w:pPr>
      <w:r>
        <w:t xml:space="preserve">Sincronización cuando recupere conexión.</w:t>
      </w:r>
    </w:p>
    <w:p>
      <w:pPr>
        <w:pStyle w:val="Compact"/>
        <w:numPr>
          <w:ilvl w:val="0"/>
          <w:numId w:val="1084"/>
        </w:numPr>
      </w:pPr>
      <w:r>
        <w:t xml:space="preserve">Protección de datos con autenticación.</w:t>
      </w:r>
    </w:p>
    <w:p>
      <w:pPr>
        <w:pStyle w:val="FirstParagraph"/>
      </w:pPr>
      <w:r>
        <w:t xml:space="preserve">Para seguridad, el almacenamiento offline de datos clínicos debe manejarse con cautela. Idealmente, las calculadoras pueden funcionar offline, pero datos identificables de pacientes deben protegerse o limitarse según configuración institucional.</w:t>
      </w:r>
    </w:p>
    <w:bookmarkEnd w:id="146"/>
    <w:bookmarkStart w:id="147" w:name="seguridad-clínica-y-legal"/>
    <w:p>
      <w:pPr>
        <w:pStyle w:val="Heading2"/>
      </w:pPr>
      <w:r>
        <w:t xml:space="preserve">31. Seguridad clínica y legal</w:t>
      </w:r>
    </w:p>
    <w:p>
      <w:pPr>
        <w:pStyle w:val="FirstParagraph"/>
      </w:pPr>
      <w:r>
        <w:t xml:space="preserve">La app debe:</w:t>
      </w:r>
    </w:p>
    <w:p>
      <w:pPr>
        <w:pStyle w:val="Compact"/>
        <w:numPr>
          <w:ilvl w:val="0"/>
          <w:numId w:val="1085"/>
        </w:numPr>
      </w:pPr>
      <w:r>
        <w:t xml:space="preserve">Mostrar que es herramienta de apoyo clínico.</w:t>
      </w:r>
    </w:p>
    <w:p>
      <w:pPr>
        <w:pStyle w:val="Compact"/>
        <w:numPr>
          <w:ilvl w:val="0"/>
          <w:numId w:val="1085"/>
        </w:numPr>
      </w:pPr>
      <w:r>
        <w:t xml:space="preserve">Permitir revisión independiente de la recomendación.</w:t>
      </w:r>
    </w:p>
    <w:p>
      <w:pPr>
        <w:pStyle w:val="Compact"/>
        <w:numPr>
          <w:ilvl w:val="0"/>
          <w:numId w:val="1085"/>
        </w:numPr>
      </w:pPr>
      <w:r>
        <w:t xml:space="preserve">Mostrar justificación de la orden.</w:t>
      </w:r>
    </w:p>
    <w:p>
      <w:pPr>
        <w:pStyle w:val="Compact"/>
        <w:numPr>
          <w:ilvl w:val="0"/>
          <w:numId w:val="1085"/>
        </w:numPr>
      </w:pPr>
      <w:r>
        <w:t xml:space="preserve">Permitir edición médica.</w:t>
      </w:r>
    </w:p>
    <w:p>
      <w:pPr>
        <w:pStyle w:val="Compact"/>
        <w:numPr>
          <w:ilvl w:val="0"/>
          <w:numId w:val="1085"/>
        </w:numPr>
      </w:pPr>
      <w:r>
        <w:t xml:space="preserve">Registrar auditoría.</w:t>
      </w:r>
    </w:p>
    <w:p>
      <w:pPr>
        <w:pStyle w:val="Compact"/>
        <w:numPr>
          <w:ilvl w:val="0"/>
          <w:numId w:val="1085"/>
        </w:numPr>
      </w:pPr>
      <w:r>
        <w:t xml:space="preserve">Evitar órdenes críticas si faltan datos mínimos.</w:t>
      </w:r>
    </w:p>
    <w:p>
      <w:pPr>
        <w:pStyle w:val="Compact"/>
        <w:numPr>
          <w:ilvl w:val="0"/>
          <w:numId w:val="1085"/>
        </w:numPr>
      </w:pPr>
      <w:r>
        <w:t xml:space="preserve">Permitir configuración institucional.</w:t>
      </w:r>
    </w:p>
    <w:p>
      <w:pPr>
        <w:pStyle w:val="Compact"/>
        <w:numPr>
          <w:ilvl w:val="0"/>
          <w:numId w:val="1085"/>
        </w:numPr>
      </w:pPr>
      <w:r>
        <w:t xml:space="preserve">Evitar acceso de pacientes.</w:t>
      </w:r>
    </w:p>
    <w:p>
      <w:pPr>
        <w:pStyle w:val="Compact"/>
        <w:numPr>
          <w:ilvl w:val="0"/>
          <w:numId w:val="1085"/>
        </w:numPr>
      </w:pPr>
      <w:r>
        <w:t xml:space="preserve">Proteger datos sensibles.</w:t>
      </w:r>
    </w:p>
    <w:p>
      <w:pPr>
        <w:pStyle w:val="Compact"/>
        <w:numPr>
          <w:ilvl w:val="0"/>
          <w:numId w:val="1085"/>
        </w:numPr>
      </w:pPr>
      <w:r>
        <w:t xml:space="preserve">Mantener historial de cambios.</w:t>
      </w:r>
    </w:p>
    <w:p>
      <w:pPr>
        <w:pStyle w:val="FirstParagraph"/>
      </w:pPr>
      <w:r>
        <w:t xml:space="preserve">Debe evitar lenguaje absoluto como</w:t>
      </w:r>
      <w:r>
        <w:t xml:space="preserve"> </w:t>
      </w:r>
      <w:r>
        <w:t xml:space="preserve">“debe administrarse”</w:t>
      </w:r>
      <w:r>
        <w:t xml:space="preserve"> </w:t>
      </w:r>
      <w:r>
        <w:t xml:space="preserve">sin contexto. Debe preferir</w:t>
      </w:r>
      <w:r>
        <w:t xml:space="preserve"> </w:t>
      </w:r>
      <w:r>
        <w:t xml:space="preserve">“orden médica sugerida”</w:t>
      </w:r>
      <w:r>
        <w:t xml:space="preserve"> </w:t>
      </w:r>
      <w:r>
        <w:t xml:space="preserve">y</w:t>
      </w:r>
      <w:r>
        <w:t xml:space="preserve"> </w:t>
      </w:r>
      <w:r>
        <w:t xml:space="preserve">“requiere validación clínica”</w:t>
      </w:r>
      <w:r>
        <w:t xml:space="preserve">.</w:t>
      </w:r>
    </w:p>
    <w:bookmarkEnd w:id="147"/>
    <w:bookmarkStart w:id="148" w:name="X8fe4ac74c0f43aec64817770332122b49242ebc"/>
    <w:p>
      <w:pPr>
        <w:pStyle w:val="Heading2"/>
      </w:pPr>
      <w:r>
        <w:t xml:space="preserve">32. Validaciones obligatorias antes de generar órdenes de alto riesgo</w:t>
      </w:r>
    </w:p>
    <w:p>
      <w:pPr>
        <w:pStyle w:val="FirstParagraph"/>
      </w:pPr>
      <w:r>
        <w:t xml:space="preserve">Antes de generar órdenes de alto riesgo, la app debe verificar:</w:t>
      </w:r>
    </w:p>
    <w:p>
      <w:pPr>
        <w:pStyle w:val="Compact"/>
        <w:numPr>
          <w:ilvl w:val="0"/>
          <w:numId w:val="1086"/>
        </w:numPr>
      </w:pPr>
      <w:r>
        <w:t xml:space="preserve">Peso.</w:t>
      </w:r>
    </w:p>
    <w:p>
      <w:pPr>
        <w:pStyle w:val="Compact"/>
        <w:numPr>
          <w:ilvl w:val="0"/>
          <w:numId w:val="1086"/>
        </w:numPr>
      </w:pPr>
      <w:r>
        <w:t xml:space="preserve">Edad.</w:t>
      </w:r>
    </w:p>
    <w:p>
      <w:pPr>
        <w:pStyle w:val="Compact"/>
        <w:numPr>
          <w:ilvl w:val="0"/>
          <w:numId w:val="1086"/>
        </w:numPr>
      </w:pPr>
      <w:r>
        <w:t xml:space="preserve">Sexo.</w:t>
      </w:r>
    </w:p>
    <w:p>
      <w:pPr>
        <w:pStyle w:val="Compact"/>
        <w:numPr>
          <w:ilvl w:val="0"/>
          <w:numId w:val="1086"/>
        </w:numPr>
      </w:pPr>
      <w:r>
        <w:t xml:space="preserve">Creatinina.</w:t>
      </w:r>
    </w:p>
    <w:p>
      <w:pPr>
        <w:pStyle w:val="Compact"/>
        <w:numPr>
          <w:ilvl w:val="0"/>
          <w:numId w:val="1086"/>
        </w:numPr>
      </w:pPr>
      <w:r>
        <w:t xml:space="preserve">TFG.</w:t>
      </w:r>
    </w:p>
    <w:p>
      <w:pPr>
        <w:pStyle w:val="Compact"/>
        <w:numPr>
          <w:ilvl w:val="0"/>
          <w:numId w:val="1086"/>
        </w:numPr>
      </w:pPr>
      <w:r>
        <w:t xml:space="preserve">Diuresis.</w:t>
      </w:r>
    </w:p>
    <w:p>
      <w:pPr>
        <w:pStyle w:val="Compact"/>
        <w:numPr>
          <w:ilvl w:val="0"/>
          <w:numId w:val="1086"/>
        </w:numPr>
      </w:pPr>
      <w:r>
        <w:t xml:space="preserve">Electrolito actual.</w:t>
      </w:r>
    </w:p>
    <w:p>
      <w:pPr>
        <w:pStyle w:val="Compact"/>
        <w:numPr>
          <w:ilvl w:val="0"/>
          <w:numId w:val="1086"/>
        </w:numPr>
      </w:pPr>
      <w:r>
        <w:t xml:space="preserve">Hora del laboratorio.</w:t>
      </w:r>
    </w:p>
    <w:p>
      <w:pPr>
        <w:pStyle w:val="Compact"/>
        <w:numPr>
          <w:ilvl w:val="0"/>
          <w:numId w:val="1086"/>
        </w:numPr>
      </w:pPr>
      <w:r>
        <w:t xml:space="preserve">Síntomas.</w:t>
      </w:r>
    </w:p>
    <w:p>
      <w:pPr>
        <w:pStyle w:val="Compact"/>
        <w:numPr>
          <w:ilvl w:val="0"/>
          <w:numId w:val="1086"/>
        </w:numPr>
      </w:pPr>
      <w:r>
        <w:t xml:space="preserve">Vía oral.</w:t>
      </w:r>
    </w:p>
    <w:p>
      <w:pPr>
        <w:pStyle w:val="Compact"/>
        <w:numPr>
          <w:ilvl w:val="0"/>
          <w:numId w:val="1086"/>
        </w:numPr>
      </w:pPr>
      <w:r>
        <w:t xml:space="preserve">Acceso venoso.</w:t>
      </w:r>
    </w:p>
    <w:p>
      <w:pPr>
        <w:pStyle w:val="Compact"/>
        <w:numPr>
          <w:ilvl w:val="0"/>
          <w:numId w:val="1086"/>
        </w:numPr>
      </w:pPr>
      <w:r>
        <w:t xml:space="preserve">Estado clínico.</w:t>
      </w:r>
    </w:p>
    <w:p>
      <w:pPr>
        <w:pStyle w:val="Compact"/>
        <w:numPr>
          <w:ilvl w:val="0"/>
          <w:numId w:val="1086"/>
        </w:numPr>
      </w:pPr>
      <w:r>
        <w:t xml:space="preserve">Comorbilidades relevantes.</w:t>
      </w:r>
    </w:p>
    <w:p>
      <w:pPr>
        <w:pStyle w:val="Compact"/>
        <w:numPr>
          <w:ilvl w:val="0"/>
          <w:numId w:val="1086"/>
        </w:numPr>
      </w:pPr>
      <w:r>
        <w:t xml:space="preserve">Medicamentos relevantes.</w:t>
      </w:r>
    </w:p>
    <w:p>
      <w:pPr>
        <w:pStyle w:val="Compact"/>
        <w:numPr>
          <w:ilvl w:val="0"/>
          <w:numId w:val="1086"/>
        </w:numPr>
      </w:pPr>
      <w:r>
        <w:t xml:space="preserve">Riesgo de sobrecarga.</w:t>
      </w:r>
    </w:p>
    <w:p>
      <w:pPr>
        <w:pStyle w:val="FirstParagraph"/>
      </w:pPr>
      <w:r>
        <w:t xml:space="preserve">Órdenes consideradas de alto riesgo:</w:t>
      </w:r>
    </w:p>
    <w:p>
      <w:pPr>
        <w:pStyle w:val="Compact"/>
        <w:numPr>
          <w:ilvl w:val="0"/>
          <w:numId w:val="1087"/>
        </w:numPr>
      </w:pPr>
      <w:r>
        <w:t xml:space="preserve">Solución salina hipertónica al 3%.</w:t>
      </w:r>
    </w:p>
    <w:p>
      <w:pPr>
        <w:pStyle w:val="Compact"/>
        <w:numPr>
          <w:ilvl w:val="0"/>
          <w:numId w:val="1087"/>
        </w:numPr>
      </w:pPr>
      <w:r>
        <w:t xml:space="preserve">Reposición IV agresiva de potasio.</w:t>
      </w:r>
    </w:p>
    <w:p>
      <w:pPr>
        <w:pStyle w:val="Compact"/>
        <w:numPr>
          <w:ilvl w:val="0"/>
          <w:numId w:val="1087"/>
        </w:numPr>
      </w:pPr>
      <w:r>
        <w:t xml:space="preserve">Manejo de hiperkalemia severa.</w:t>
      </w:r>
    </w:p>
    <w:p>
      <w:pPr>
        <w:pStyle w:val="Compact"/>
        <w:numPr>
          <w:ilvl w:val="0"/>
          <w:numId w:val="1087"/>
        </w:numPr>
      </w:pPr>
      <w:r>
        <w:t xml:space="preserve">Gluconato de calcio IV.</w:t>
      </w:r>
    </w:p>
    <w:p>
      <w:pPr>
        <w:pStyle w:val="Compact"/>
        <w:numPr>
          <w:ilvl w:val="0"/>
          <w:numId w:val="1087"/>
        </w:numPr>
      </w:pPr>
      <w:r>
        <w:t xml:space="preserve">Reposición IV de fósforo.</w:t>
      </w:r>
    </w:p>
    <w:p>
      <w:pPr>
        <w:pStyle w:val="Compact"/>
        <w:numPr>
          <w:ilvl w:val="0"/>
          <w:numId w:val="1087"/>
        </w:numPr>
      </w:pPr>
      <w:r>
        <w:t xml:space="preserve">Hidratación agresiva en hipercalcemia maligna.</w:t>
      </w:r>
    </w:p>
    <w:p>
      <w:pPr>
        <w:pStyle w:val="Compact"/>
        <w:numPr>
          <w:ilvl w:val="0"/>
          <w:numId w:val="1087"/>
        </w:numPr>
      </w:pPr>
      <w:r>
        <w:t xml:space="preserve">Manejo en falla renal avanzada o anuria.</w:t>
      </w:r>
    </w:p>
    <w:bookmarkEnd w:id="148"/>
    <w:bookmarkStart w:id="152" w:name="roadmap-de-desarrollo"/>
    <w:p>
      <w:pPr>
        <w:pStyle w:val="Heading2"/>
      </w:pPr>
      <w:r>
        <w:t xml:space="preserve">33. Roadmap de desarrollo</w:t>
      </w:r>
    </w:p>
    <w:bookmarkStart w:id="149" w:name="mvp-inicial"/>
    <w:p>
      <w:pPr>
        <w:pStyle w:val="Heading3"/>
      </w:pPr>
      <w:r>
        <w:t xml:space="preserve">33.1 MVP inicial</w:t>
      </w:r>
    </w:p>
    <w:p>
      <w:pPr>
        <w:pStyle w:val="FirstParagraph"/>
      </w:pPr>
      <w:r>
        <w:t xml:space="preserve">Debe incluir:</w:t>
      </w:r>
    </w:p>
    <w:p>
      <w:pPr>
        <w:pStyle w:val="Compact"/>
        <w:numPr>
          <w:ilvl w:val="0"/>
          <w:numId w:val="1088"/>
        </w:numPr>
      </w:pPr>
      <w:r>
        <w:t xml:space="preserve">Login.</w:t>
      </w:r>
    </w:p>
    <w:p>
      <w:pPr>
        <w:pStyle w:val="Compact"/>
        <w:numPr>
          <w:ilvl w:val="0"/>
          <w:numId w:val="1088"/>
        </w:numPr>
      </w:pPr>
      <w:r>
        <w:t xml:space="preserve">Registro de institución.</w:t>
      </w:r>
    </w:p>
    <w:p>
      <w:pPr>
        <w:pStyle w:val="Compact"/>
        <w:numPr>
          <w:ilvl w:val="0"/>
          <w:numId w:val="1088"/>
        </w:numPr>
      </w:pPr>
      <w:r>
        <w:t xml:space="preserve">Usuarios por institución.</w:t>
      </w:r>
    </w:p>
    <w:p>
      <w:pPr>
        <w:pStyle w:val="Compact"/>
        <w:numPr>
          <w:ilvl w:val="0"/>
          <w:numId w:val="1088"/>
        </w:numPr>
      </w:pPr>
      <w:r>
        <w:t xml:space="preserve">Crear paciente.</w:t>
      </w:r>
    </w:p>
    <w:p>
      <w:pPr>
        <w:pStyle w:val="Compact"/>
        <w:numPr>
          <w:ilvl w:val="0"/>
          <w:numId w:val="1088"/>
        </w:numPr>
      </w:pPr>
      <w:r>
        <w:t xml:space="preserve">Comorbilidades marcables.</w:t>
      </w:r>
    </w:p>
    <w:p>
      <w:pPr>
        <w:pStyle w:val="Compact"/>
        <w:numPr>
          <w:ilvl w:val="0"/>
          <w:numId w:val="1088"/>
        </w:numPr>
      </w:pPr>
      <w:r>
        <w:t xml:space="preserve">Medicamentos marcables.</w:t>
      </w:r>
    </w:p>
    <w:p>
      <w:pPr>
        <w:pStyle w:val="Compact"/>
        <w:numPr>
          <w:ilvl w:val="0"/>
          <w:numId w:val="1088"/>
        </w:numPr>
      </w:pPr>
      <w:r>
        <w:t xml:space="preserve">Ingreso de laboratorios.</w:t>
      </w:r>
    </w:p>
    <w:p>
      <w:pPr>
        <w:pStyle w:val="Compact"/>
        <w:numPr>
          <w:ilvl w:val="0"/>
          <w:numId w:val="1088"/>
        </w:numPr>
      </w:pPr>
      <w:r>
        <w:t xml:space="preserve">Cálculo de TFG.</w:t>
      </w:r>
    </w:p>
    <w:p>
      <w:pPr>
        <w:pStyle w:val="Compact"/>
        <w:numPr>
          <w:ilvl w:val="0"/>
          <w:numId w:val="1088"/>
        </w:numPr>
      </w:pPr>
      <w:r>
        <w:t xml:space="preserve">Cálculo de Cockcroft-Gault.</w:t>
      </w:r>
    </w:p>
    <w:p>
      <w:pPr>
        <w:pStyle w:val="Compact"/>
        <w:numPr>
          <w:ilvl w:val="0"/>
          <w:numId w:val="1088"/>
        </w:numPr>
      </w:pPr>
      <w:r>
        <w:t xml:space="preserve">Sodio corregido.</w:t>
      </w:r>
    </w:p>
    <w:p>
      <w:pPr>
        <w:pStyle w:val="Compact"/>
        <w:numPr>
          <w:ilvl w:val="0"/>
          <w:numId w:val="1088"/>
        </w:numPr>
      </w:pPr>
      <w:r>
        <w:t xml:space="preserve">Calcio corregido.</w:t>
      </w:r>
    </w:p>
    <w:p>
      <w:pPr>
        <w:pStyle w:val="Compact"/>
        <w:numPr>
          <w:ilvl w:val="0"/>
          <w:numId w:val="1088"/>
        </w:numPr>
      </w:pPr>
      <w:r>
        <w:t xml:space="preserve">Módulo de sodio.</w:t>
      </w:r>
    </w:p>
    <w:p>
      <w:pPr>
        <w:pStyle w:val="Compact"/>
        <w:numPr>
          <w:ilvl w:val="0"/>
          <w:numId w:val="1088"/>
        </w:numPr>
      </w:pPr>
      <w:r>
        <w:t xml:space="preserve">Módulo de potasio.</w:t>
      </w:r>
    </w:p>
    <w:p>
      <w:pPr>
        <w:pStyle w:val="Compact"/>
        <w:numPr>
          <w:ilvl w:val="0"/>
          <w:numId w:val="1088"/>
        </w:numPr>
      </w:pPr>
      <w:r>
        <w:t xml:space="preserve">Módulo básico de magnesio.</w:t>
      </w:r>
    </w:p>
    <w:p>
      <w:pPr>
        <w:pStyle w:val="Compact"/>
        <w:numPr>
          <w:ilvl w:val="0"/>
          <w:numId w:val="1088"/>
        </w:numPr>
      </w:pPr>
      <w:r>
        <w:t xml:space="preserve">Módulo básico de fósforo.</w:t>
      </w:r>
    </w:p>
    <w:p>
      <w:pPr>
        <w:pStyle w:val="Compact"/>
        <w:numPr>
          <w:ilvl w:val="0"/>
          <w:numId w:val="1088"/>
        </w:numPr>
      </w:pPr>
      <w:r>
        <w:t xml:space="preserve">Módulo de calcio.</w:t>
      </w:r>
    </w:p>
    <w:p>
      <w:pPr>
        <w:pStyle w:val="Compact"/>
        <w:numPr>
          <w:ilvl w:val="0"/>
          <w:numId w:val="1088"/>
        </w:numPr>
      </w:pPr>
      <w:r>
        <w:t xml:space="preserve">Módulo de hipercalcemia maligna.</w:t>
      </w:r>
    </w:p>
    <w:p>
      <w:pPr>
        <w:pStyle w:val="Compact"/>
        <w:numPr>
          <w:ilvl w:val="0"/>
          <w:numId w:val="1088"/>
        </w:numPr>
      </w:pPr>
      <w:r>
        <w:t xml:space="preserve">Generador de orden médica sugerida.</w:t>
      </w:r>
    </w:p>
    <w:p>
      <w:pPr>
        <w:pStyle w:val="Compact"/>
        <w:numPr>
          <w:ilvl w:val="0"/>
          <w:numId w:val="1088"/>
        </w:numPr>
      </w:pPr>
      <w:r>
        <w:t xml:space="preserve">Botón copiar orden.</w:t>
      </w:r>
    </w:p>
    <w:p>
      <w:pPr>
        <w:pStyle w:val="Compact"/>
        <w:numPr>
          <w:ilvl w:val="0"/>
          <w:numId w:val="1088"/>
        </w:numPr>
      </w:pPr>
      <w:r>
        <w:t xml:space="preserve">Seguimiento con laboratorios de control.</w:t>
      </w:r>
    </w:p>
    <w:p>
      <w:pPr>
        <w:pStyle w:val="Compact"/>
        <w:numPr>
          <w:ilvl w:val="0"/>
          <w:numId w:val="1088"/>
        </w:numPr>
      </w:pPr>
      <w:r>
        <w:t xml:space="preserve">Alertas críticas.</w:t>
      </w:r>
    </w:p>
    <w:bookmarkEnd w:id="149"/>
    <w:bookmarkStart w:id="150" w:name="versión-2"/>
    <w:p>
      <w:pPr>
        <w:pStyle w:val="Heading3"/>
      </w:pPr>
      <w:r>
        <w:t xml:space="preserve">33.2 Versión 2</w:t>
      </w:r>
    </w:p>
    <w:p>
      <w:pPr>
        <w:pStyle w:val="FirstParagraph"/>
      </w:pPr>
      <w:r>
        <w:t xml:space="preserve">Debe incluir:</w:t>
      </w:r>
    </w:p>
    <w:p>
      <w:pPr>
        <w:pStyle w:val="Compact"/>
        <w:numPr>
          <w:ilvl w:val="0"/>
          <w:numId w:val="1089"/>
        </w:numPr>
      </w:pPr>
      <w:r>
        <w:t xml:space="preserve">Gráficas de tendencia.</w:t>
      </w:r>
    </w:p>
    <w:p>
      <w:pPr>
        <w:pStyle w:val="Compact"/>
        <w:numPr>
          <w:ilvl w:val="0"/>
          <w:numId w:val="1089"/>
        </w:numPr>
      </w:pPr>
      <w:r>
        <w:t xml:space="preserve">Exportar resumen clínico.</w:t>
      </w:r>
    </w:p>
    <w:p>
      <w:pPr>
        <w:pStyle w:val="Compact"/>
        <w:numPr>
          <w:ilvl w:val="0"/>
          <w:numId w:val="1089"/>
        </w:numPr>
      </w:pPr>
      <w:r>
        <w:t xml:space="preserve">Protocolos institucionales configurables.</w:t>
      </w:r>
    </w:p>
    <w:p>
      <w:pPr>
        <w:pStyle w:val="Compact"/>
        <w:numPr>
          <w:ilvl w:val="0"/>
          <w:numId w:val="1089"/>
        </w:numPr>
      </w:pPr>
      <w:r>
        <w:t xml:space="preserve">Modo UCI.</w:t>
      </w:r>
    </w:p>
    <w:p>
      <w:pPr>
        <w:pStyle w:val="Compact"/>
        <w:numPr>
          <w:ilvl w:val="0"/>
          <w:numId w:val="1089"/>
        </w:numPr>
      </w:pPr>
      <w:r>
        <w:t xml:space="preserve">Modo urgencias.</w:t>
      </w:r>
    </w:p>
    <w:p>
      <w:pPr>
        <w:pStyle w:val="Compact"/>
        <w:numPr>
          <w:ilvl w:val="0"/>
          <w:numId w:val="1089"/>
        </w:numPr>
      </w:pPr>
      <w:r>
        <w:t xml:space="preserve">Modo hospitalización.</w:t>
      </w:r>
    </w:p>
    <w:p>
      <w:pPr>
        <w:pStyle w:val="Compact"/>
        <w:numPr>
          <w:ilvl w:val="0"/>
          <w:numId w:val="1089"/>
        </w:numPr>
      </w:pPr>
      <w:r>
        <w:t xml:space="preserve">Validación por supervisor.</w:t>
      </w:r>
    </w:p>
    <w:p>
      <w:pPr>
        <w:pStyle w:val="Compact"/>
        <w:numPr>
          <w:ilvl w:val="0"/>
          <w:numId w:val="1089"/>
        </w:numPr>
      </w:pPr>
      <w:r>
        <w:t xml:space="preserve">Reportes de calidad.</w:t>
      </w:r>
    </w:p>
    <w:p>
      <w:pPr>
        <w:pStyle w:val="Compact"/>
        <w:numPr>
          <w:ilvl w:val="0"/>
          <w:numId w:val="1089"/>
        </w:numPr>
      </w:pPr>
      <w:r>
        <w:t xml:space="preserve">Auditoría avanzada.</w:t>
      </w:r>
    </w:p>
    <w:p>
      <w:pPr>
        <w:pStyle w:val="Compact"/>
        <w:numPr>
          <w:ilvl w:val="0"/>
          <w:numId w:val="1089"/>
        </w:numPr>
      </w:pPr>
      <w:r>
        <w:t xml:space="preserve">Modo docencia.</w:t>
      </w:r>
    </w:p>
    <w:bookmarkEnd w:id="150"/>
    <w:bookmarkStart w:id="151" w:name="versión-3"/>
    <w:p>
      <w:pPr>
        <w:pStyle w:val="Heading3"/>
      </w:pPr>
      <w:r>
        <w:t xml:space="preserve">33.3 Versión 3</w:t>
      </w:r>
    </w:p>
    <w:p>
      <w:pPr>
        <w:pStyle w:val="FirstParagraph"/>
      </w:pPr>
      <w:r>
        <w:t xml:space="preserve">Debe incluir:</w:t>
      </w:r>
    </w:p>
    <w:p>
      <w:pPr>
        <w:pStyle w:val="Compact"/>
        <w:numPr>
          <w:ilvl w:val="0"/>
          <w:numId w:val="1090"/>
        </w:numPr>
      </w:pPr>
      <w:r>
        <w:t xml:space="preserve">Integración con historia clínica.</w:t>
      </w:r>
    </w:p>
    <w:p>
      <w:pPr>
        <w:pStyle w:val="Compact"/>
        <w:numPr>
          <w:ilvl w:val="0"/>
          <w:numId w:val="1090"/>
        </w:numPr>
      </w:pPr>
      <w:r>
        <w:t xml:space="preserve">Importación automática de laboratorios.</w:t>
      </w:r>
    </w:p>
    <w:p>
      <w:pPr>
        <w:pStyle w:val="Compact"/>
        <w:numPr>
          <w:ilvl w:val="0"/>
          <w:numId w:val="1090"/>
        </w:numPr>
      </w:pPr>
      <w:r>
        <w:t xml:space="preserve">Alertas automáticas por laboratorio vencido.</w:t>
      </w:r>
    </w:p>
    <w:p>
      <w:pPr>
        <w:pStyle w:val="Compact"/>
        <w:numPr>
          <w:ilvl w:val="0"/>
          <w:numId w:val="1090"/>
        </w:numPr>
      </w:pPr>
      <w:r>
        <w:t xml:space="preserve">Integración con sistemas hospitalarios.</w:t>
      </w:r>
    </w:p>
    <w:p>
      <w:pPr>
        <w:pStyle w:val="Compact"/>
        <w:numPr>
          <w:ilvl w:val="0"/>
          <w:numId w:val="1090"/>
        </w:numPr>
      </w:pPr>
      <w:r>
        <w:t xml:space="preserve">Panel administrativo avanzado.</w:t>
      </w:r>
    </w:p>
    <w:p>
      <w:pPr>
        <w:pStyle w:val="Compact"/>
        <w:numPr>
          <w:ilvl w:val="0"/>
          <w:numId w:val="1090"/>
        </w:numPr>
      </w:pPr>
      <w:r>
        <w:t xml:space="preserve">Analítica institucional.</w:t>
      </w:r>
    </w:p>
    <w:p>
      <w:pPr>
        <w:pStyle w:val="Compact"/>
        <w:numPr>
          <w:ilvl w:val="0"/>
          <w:numId w:val="1090"/>
        </w:numPr>
      </w:pPr>
      <w:r>
        <w:t xml:space="preserve">Motor de reglas configurable visualmente.</w:t>
      </w:r>
    </w:p>
    <w:p>
      <w:pPr>
        <w:pStyle w:val="Compact"/>
        <w:numPr>
          <w:ilvl w:val="0"/>
          <w:numId w:val="1090"/>
        </w:numPr>
      </w:pPr>
      <w:r>
        <w:t xml:space="preserve">Soporte para protocolos locales por servicio.</w:t>
      </w:r>
    </w:p>
    <w:bookmarkEnd w:id="151"/>
    <w:bookmarkEnd w:id="152"/>
    <w:bookmarkStart w:id="153" w:name="Xd2d3119f97fa34a10d17de680e00aec246ba3a5"/>
    <w:p>
      <w:pPr>
        <w:pStyle w:val="Heading2"/>
      </w:pPr>
      <w:r>
        <w:t xml:space="preserve">34. Ejemplo de caso completo dentro de la app</w:t>
      </w:r>
    </w:p>
    <w:p>
      <w:pPr>
        <w:pStyle w:val="FirstParagraph"/>
      </w:pPr>
      <w:r>
        <w:t xml:space="preserve">Paciente masculino de 70 kg, 68 años, hospitalizado en UCI, creatinina 1.4 mg/dL, sodio 118 mmol/L, confusión aguda y somnolencia. La app calcula función renal, identifica sodio menor de 120 con signos neurológicos y activa módulo de hiponatremia severa sintomática.</w:t>
      </w:r>
    </w:p>
    <w:p>
      <w:pPr>
        <w:pStyle w:val="BodyText"/>
      </w:pPr>
      <w:r>
        <w:t xml:space="preserve">La app genera:</w:t>
      </w:r>
    </w:p>
    <w:p>
      <w:pPr>
        <w:pStyle w:val="BodyText"/>
      </w:pPr>
      <w:r>
        <w:rPr>
          <w:b/>
          <w:bCs/>
        </w:rPr>
        <w:t xml:space="preserve">Diagnóstico:</w:t>
      </w:r>
      <w:r>
        <w:t xml:space="preserve"> </w:t>
      </w:r>
      <w:r>
        <w:t xml:space="preserve">hiponatremia severa sintomática.</w:t>
      </w:r>
    </w:p>
    <w:p>
      <w:pPr>
        <w:pStyle w:val="BodyText"/>
      </w:pPr>
      <w:r>
        <w:rPr>
          <w:b/>
          <w:bCs/>
        </w:rPr>
        <w:t xml:space="preserve">Riesgo:</w:t>
      </w:r>
      <w:r>
        <w:t xml:space="preserve"> </w:t>
      </w:r>
      <w:r>
        <w:t xml:space="preserve">emergencia neurológica, riesgo de edema cerebral y riesgo de sobrecorrección.</w:t>
      </w:r>
    </w:p>
    <w:p>
      <w:pPr>
        <w:pStyle w:val="BodyText"/>
      </w:pPr>
      <w:r>
        <w:rPr>
          <w:b/>
          <w:bCs/>
        </w:rPr>
        <w:t xml:space="preserve">Orden médica sugerida:</w:t>
      </w:r>
      <w:r>
        <w:t xml:space="preserve"> </w:t>
      </w:r>
      <w:r>
        <w:t xml:space="preserve">administrar solución salina hipertónica al 3% 150 cc IV en 20 minutos bajo monitorización estricta. Solicitar sodio sérico de control al finalizar bolo o en 20 a 30 minutos. Repetir bolo si persisten signos neurológicos o no se alcanza ascenso inicial esperado, evitando sobrecorrección. Control de sodio cada 2 a 4 horas durante fase activa. Vigilar diuresis, balance hídrico y estado neurológico.</w:t>
      </w:r>
    </w:p>
    <w:p>
      <w:pPr>
        <w:pStyle w:val="BodyText"/>
      </w:pPr>
      <w:r>
        <w:t xml:space="preserve">El médico copia, edita o guarda la orden. Luego ingresa sodio de control. Si el sodio sube rápido, la app alerta y recomienda suspender o ajustar la corrección.</w:t>
      </w:r>
    </w:p>
    <w:bookmarkEnd w:id="153"/>
    <w:bookmarkStart w:id="154" w:name="criterio-de-éxito-de-la-app"/>
    <w:p>
      <w:pPr>
        <w:pStyle w:val="Heading2"/>
      </w:pPr>
      <w:r>
        <w:t xml:space="preserve">35. Criterio de éxito de la app</w:t>
      </w:r>
    </w:p>
    <w:p>
      <w:pPr>
        <w:pStyle w:val="FirstParagraph"/>
      </w:pPr>
      <w:r>
        <w:t xml:space="preserve">La app será exitosa si logra:</w:t>
      </w:r>
    </w:p>
    <w:p>
      <w:pPr>
        <w:pStyle w:val="Compact"/>
        <w:numPr>
          <w:ilvl w:val="0"/>
          <w:numId w:val="1091"/>
        </w:numPr>
      </w:pPr>
      <w:r>
        <w:t xml:space="preserve">Reducir errores de reposición electrolítica.</w:t>
      </w:r>
    </w:p>
    <w:p>
      <w:pPr>
        <w:pStyle w:val="Compact"/>
        <w:numPr>
          <w:ilvl w:val="0"/>
          <w:numId w:val="1091"/>
        </w:numPr>
      </w:pPr>
      <w:r>
        <w:t xml:space="preserve">Hacer más rápidas las decisiones médicas.</w:t>
      </w:r>
    </w:p>
    <w:p>
      <w:pPr>
        <w:pStyle w:val="Compact"/>
        <w:numPr>
          <w:ilvl w:val="0"/>
          <w:numId w:val="1091"/>
        </w:numPr>
      </w:pPr>
      <w:r>
        <w:t xml:space="preserve">Estandarizar órdenes.</w:t>
      </w:r>
    </w:p>
    <w:p>
      <w:pPr>
        <w:pStyle w:val="Compact"/>
        <w:numPr>
          <w:ilvl w:val="0"/>
          <w:numId w:val="1091"/>
        </w:numPr>
      </w:pPr>
      <w:r>
        <w:t xml:space="preserve">Disminuir omisiones de control.</w:t>
      </w:r>
    </w:p>
    <w:p>
      <w:pPr>
        <w:pStyle w:val="Compact"/>
        <w:numPr>
          <w:ilvl w:val="0"/>
          <w:numId w:val="1091"/>
        </w:numPr>
      </w:pPr>
      <w:r>
        <w:t xml:space="preserve">Alertar sobre riesgos críticos.</w:t>
      </w:r>
    </w:p>
    <w:p>
      <w:pPr>
        <w:pStyle w:val="Compact"/>
        <w:numPr>
          <w:ilvl w:val="0"/>
          <w:numId w:val="1091"/>
        </w:numPr>
      </w:pPr>
      <w:r>
        <w:t xml:space="preserve">Permitir seguimiento cronológico claro.</w:t>
      </w:r>
    </w:p>
    <w:p>
      <w:pPr>
        <w:pStyle w:val="Compact"/>
        <w:numPr>
          <w:ilvl w:val="0"/>
          <w:numId w:val="1091"/>
        </w:numPr>
      </w:pPr>
      <w:r>
        <w:t xml:space="preserve">Ser útil en urgencias, hospitalización y UCI.</w:t>
      </w:r>
    </w:p>
    <w:p>
      <w:pPr>
        <w:pStyle w:val="Compact"/>
        <w:numPr>
          <w:ilvl w:val="0"/>
          <w:numId w:val="1091"/>
        </w:numPr>
      </w:pPr>
      <w:r>
        <w:t xml:space="preserve">Ser suficientemente segura para uso institucional.</w:t>
      </w:r>
    </w:p>
    <w:p>
      <w:pPr>
        <w:pStyle w:val="Compact"/>
        <w:numPr>
          <w:ilvl w:val="0"/>
          <w:numId w:val="1091"/>
        </w:numPr>
      </w:pPr>
      <w:r>
        <w:t xml:space="preserve">Ser editable para que el médico mantenga el control final.</w:t>
      </w:r>
    </w:p>
    <w:p>
      <w:pPr>
        <w:pStyle w:val="Compact"/>
        <w:numPr>
          <w:ilvl w:val="0"/>
          <w:numId w:val="1091"/>
        </w:numPr>
      </w:pPr>
      <w:r>
        <w:t xml:space="preserve">Ser comercializable como solución multiinstitución.</w:t>
      </w:r>
    </w:p>
    <w:bookmarkEnd w:id="154"/>
    <w:bookmarkStart w:id="155" w:name="resumen-ejecutivo"/>
    <w:p>
      <w:pPr>
        <w:pStyle w:val="Heading2"/>
      </w:pPr>
      <w:r>
        <w:t xml:space="preserve">36. Resumen ejecutivo</w:t>
      </w:r>
    </w:p>
    <w:p>
      <w:pPr>
        <w:pStyle w:val="FirstParagraph"/>
      </w:pPr>
      <w:r>
        <w:t xml:space="preserve">HidroBalance MD será una aplicación médica de soporte clínico para el manejo de trastornos hidroelectrolíticos en adultos. Su valor diferencial será transformar datos clínicos y de laboratorio en órdenes médicas sugeridas, específicas, editables y copiables, con cálculo automático de función renal, clasificación de severidad, alertas de seguridad, seguimiento diario y ajuste con laboratorios de control.</w:t>
      </w:r>
    </w:p>
    <w:p>
      <w:pPr>
        <w:pStyle w:val="BodyText"/>
      </w:pPr>
      <w:r>
        <w:t xml:space="preserve">La app debe incluir módulos para sodio, potasio, magnesio, fósforo, calcio e hipercalcemia maligna. Debe manejar comorbilidades y medicamentos como variables marcables, calcular TFG y otros parámetros, priorizar riesgos y generar recomendaciones seguras según contexto renal, volemia, síntomas y comorbilidades.</w:t>
      </w:r>
    </w:p>
    <w:p>
      <w:pPr>
        <w:pStyle w:val="BodyText"/>
      </w:pPr>
      <w:r>
        <w:t xml:space="preserve">El diseño debe ser multiinstitución, con bases de datos separadas o aislamiento institucional, configuración local de protocolos, roles de usuario y auditoría. La app debe ser PWA instalable, moderna, rápida y pensada para médicos en escenarios reales de urgencias, hospitalización y UCI.</w:t>
      </w:r>
    </w:p>
    <w:p>
      <w:pPr>
        <w:pStyle w:val="BodyText"/>
      </w:pPr>
      <w:r>
        <w:t xml:space="preserve">El principio final es claro:</w:t>
      </w:r>
      <w:r>
        <w:t xml:space="preserve"> </w:t>
      </w:r>
      <w:r>
        <w:rPr>
          <w:b/>
          <w:bCs/>
        </w:rPr>
        <w:t xml:space="preserve">la app no reemplaza al médico, pero debe ayudarlo a decidir mejor, más rápido y con menos riesgo.</w:t>
      </w:r>
    </w:p>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2026-04-27T04:25:12Z</dcterms:created>
  <dcterms:modified xsi:type="dcterms:W3CDTF">2026-04-27T04:25:12Z</dcterms:modified>
</cp:coreProperties>
</file>

<file path=docProps/custom.xml><?xml version="1.0" encoding="utf-8"?>
<Properties xmlns="http://schemas.openxmlformats.org/officeDocument/2006/custom-properties" xmlns:vt="http://schemas.openxmlformats.org/officeDocument/2006/docPropsVTypes"/>
</file>