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537AA864" w:rsidR="00BF66C9" w:rsidRDefault="005A1F25" w:rsidP="00BF66C9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>CONSULTA SOBRE NIIF</w:t>
      </w:r>
    </w:p>
    <w:p w14:paraId="799A228A" w14:textId="77777777" w:rsidR="00BF66C9" w:rsidRPr="00922476" w:rsidRDefault="00BF66C9" w:rsidP="00BF66C9">
      <w:pPr>
        <w:spacing w:before="91"/>
        <w:ind w:left="913"/>
        <w:jc w:val="center"/>
        <w:rPr>
          <w:b/>
          <w:sz w:val="30"/>
        </w:rPr>
      </w:pPr>
    </w:p>
    <w:p w14:paraId="292BEE7D" w14:textId="6BA571C3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 Villagómez</w:t>
      </w:r>
      <w:r w:rsidR="009644BB">
        <w:rPr>
          <w:bCs/>
          <w:szCs w:val="18"/>
        </w:rPr>
        <w:t>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77777777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02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31790470" w14:textId="77777777" w:rsidR="008D5683" w:rsidRDefault="008D5683"/>
    <w:p w14:paraId="66123A36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CUESTIONARIO</w:t>
      </w:r>
    </w:p>
    <w:p w14:paraId="64502552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1. Qué son las NIIF y para qué sirven</w:t>
      </w:r>
    </w:p>
    <w:p w14:paraId="71B4B6B8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Las </w:t>
      </w:r>
      <w:r w:rsidRPr="002351D3">
        <w:rPr>
          <w:b/>
          <w:bCs/>
          <w:lang w:val="es-EC"/>
        </w:rPr>
        <w:t>Normas Internacionales de Información Financiera (NIIF)</w:t>
      </w:r>
      <w:r w:rsidRPr="002351D3">
        <w:rPr>
          <w:lang w:val="es-EC"/>
        </w:rPr>
        <w:t>, conocidas internacionalmente como </w:t>
      </w:r>
      <w:r w:rsidRPr="002351D3">
        <w:rPr>
          <w:b/>
          <w:bCs/>
          <w:lang w:val="es-EC"/>
        </w:rPr>
        <w:t>IFRS</w:t>
      </w:r>
      <w:r w:rsidRPr="002351D3">
        <w:rPr>
          <w:lang w:val="es-EC"/>
        </w:rPr>
        <w:t xml:space="preserve"> (International </w:t>
      </w:r>
      <w:proofErr w:type="spellStart"/>
      <w:r w:rsidRPr="002351D3">
        <w:rPr>
          <w:lang w:val="es-EC"/>
        </w:rPr>
        <w:t>Financial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Reporting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Standards</w:t>
      </w:r>
      <w:proofErr w:type="spellEnd"/>
      <w:r w:rsidRPr="002351D3">
        <w:rPr>
          <w:lang w:val="es-EC"/>
        </w:rPr>
        <w:t>), son un conjunto de estándares técnicos contables, emitidos por el </w:t>
      </w:r>
      <w:r w:rsidRPr="002351D3">
        <w:rPr>
          <w:b/>
          <w:bCs/>
          <w:lang w:val="es-EC"/>
        </w:rPr>
        <w:t>IASB</w:t>
      </w:r>
      <w:r w:rsidRPr="002351D3">
        <w:rPr>
          <w:lang w:val="es-EC"/>
        </w:rPr>
        <w:t xml:space="preserve"> (International </w:t>
      </w:r>
      <w:proofErr w:type="spellStart"/>
      <w:r w:rsidRPr="002351D3">
        <w:rPr>
          <w:lang w:val="es-EC"/>
        </w:rPr>
        <w:t>Accounting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Standards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Board</w:t>
      </w:r>
      <w:proofErr w:type="spellEnd"/>
      <w:r w:rsidRPr="002351D3">
        <w:rPr>
          <w:lang w:val="es-EC"/>
        </w:rPr>
        <w:t>), que establecen los requisitos de reconocimiento, medición, presentación e información a revelar en los estados financieros.</w:t>
      </w:r>
    </w:p>
    <w:p w14:paraId="3CD29B51" w14:textId="77777777" w:rsidR="002351D3" w:rsidRPr="002351D3" w:rsidRDefault="002351D3" w:rsidP="002351D3">
      <w:pPr>
        <w:rPr>
          <w:lang w:val="es-EC"/>
        </w:rPr>
      </w:pPr>
      <w:r w:rsidRPr="002351D3">
        <w:rPr>
          <w:b/>
          <w:bCs/>
          <w:lang w:val="es-EC"/>
        </w:rPr>
        <w:t>Sirven para:</w:t>
      </w:r>
    </w:p>
    <w:p w14:paraId="769D509C" w14:textId="77777777" w:rsidR="002351D3" w:rsidRPr="002351D3" w:rsidRDefault="002351D3" w:rsidP="002351D3">
      <w:pPr>
        <w:numPr>
          <w:ilvl w:val="0"/>
          <w:numId w:val="1"/>
        </w:numPr>
        <w:rPr>
          <w:lang w:val="es-EC"/>
        </w:rPr>
      </w:pPr>
      <w:r w:rsidRPr="002351D3">
        <w:rPr>
          <w:b/>
          <w:bCs/>
          <w:lang w:val="es-EC"/>
        </w:rPr>
        <w:t>Globalización:</w:t>
      </w:r>
      <w:r w:rsidRPr="002351D3">
        <w:rPr>
          <w:lang w:val="es-EC"/>
        </w:rPr>
        <w:t> Armonizar la información financiera a nivel mundial, facilitando la comparabilidad entre empresas de diferentes países.</w:t>
      </w:r>
    </w:p>
    <w:p w14:paraId="0C2A56E1" w14:textId="77777777" w:rsidR="002351D3" w:rsidRPr="002351D3" w:rsidRDefault="002351D3" w:rsidP="002351D3">
      <w:pPr>
        <w:numPr>
          <w:ilvl w:val="0"/>
          <w:numId w:val="1"/>
        </w:numPr>
        <w:rPr>
          <w:lang w:val="es-EC"/>
        </w:rPr>
      </w:pPr>
      <w:r w:rsidRPr="002351D3">
        <w:rPr>
          <w:b/>
          <w:bCs/>
          <w:lang w:val="es-EC"/>
        </w:rPr>
        <w:t>Transparencia:</w:t>
      </w:r>
      <w:r w:rsidRPr="002351D3">
        <w:rPr>
          <w:lang w:val="es-EC"/>
        </w:rPr>
        <w:t> Proporcionar una imagen fiel y transparente de la situación financiera y el desempeño de una empresa.</w:t>
      </w:r>
    </w:p>
    <w:p w14:paraId="4F539FEC" w14:textId="77777777" w:rsidR="002351D3" w:rsidRPr="002351D3" w:rsidRDefault="002351D3" w:rsidP="002351D3">
      <w:pPr>
        <w:numPr>
          <w:ilvl w:val="0"/>
          <w:numId w:val="1"/>
        </w:numPr>
        <w:rPr>
          <w:lang w:val="es-EC"/>
        </w:rPr>
      </w:pPr>
      <w:r w:rsidRPr="002351D3">
        <w:rPr>
          <w:b/>
          <w:bCs/>
          <w:lang w:val="es-EC"/>
        </w:rPr>
        <w:t>Toma de Decisiones:</w:t>
      </w:r>
      <w:r w:rsidRPr="002351D3">
        <w:rPr>
          <w:lang w:val="es-EC"/>
        </w:rPr>
        <w:t xml:space="preserve"> Ofrecer información de alta calidad a inversionistas, acreedores y otros </w:t>
      </w:r>
      <w:proofErr w:type="spellStart"/>
      <w:r w:rsidRPr="002351D3">
        <w:rPr>
          <w:lang w:val="es-EC"/>
        </w:rPr>
        <w:t>stakeholders</w:t>
      </w:r>
      <w:proofErr w:type="spellEnd"/>
      <w:r w:rsidRPr="002351D3">
        <w:rPr>
          <w:lang w:val="es-EC"/>
        </w:rPr>
        <w:t xml:space="preserve"> para una toma de decisiones informada.</w:t>
      </w:r>
    </w:p>
    <w:p w14:paraId="562B04B0" w14:textId="77777777" w:rsidR="002351D3" w:rsidRPr="002351D3" w:rsidRDefault="002351D3" w:rsidP="002351D3">
      <w:pPr>
        <w:numPr>
          <w:ilvl w:val="0"/>
          <w:numId w:val="1"/>
        </w:numPr>
        <w:rPr>
          <w:lang w:val="es-EC"/>
        </w:rPr>
      </w:pPr>
      <w:r w:rsidRPr="002351D3">
        <w:rPr>
          <w:b/>
          <w:bCs/>
          <w:lang w:val="es-EC"/>
        </w:rPr>
        <w:t>Reducir Costos:</w:t>
      </w:r>
      <w:r w:rsidRPr="002351D3">
        <w:rPr>
          <w:lang w:val="es-EC"/>
        </w:rPr>
        <w:t> Facilitar el acceso a mercados de capitales internacionales y reducir los costos de preparación de información para grupos multinacionales.</w:t>
      </w:r>
    </w:p>
    <w:p w14:paraId="4B5FB99D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2. Por qué Ecuador adoptó las NIIF</w:t>
      </w:r>
    </w:p>
    <w:p w14:paraId="3260A888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Ecuador adoptó las NIIF principalmente por:</w:t>
      </w:r>
    </w:p>
    <w:p w14:paraId="412E43D8" w14:textId="77777777" w:rsidR="002351D3" w:rsidRPr="002351D3" w:rsidRDefault="002351D3" w:rsidP="002351D3">
      <w:pPr>
        <w:numPr>
          <w:ilvl w:val="0"/>
          <w:numId w:val="2"/>
        </w:numPr>
        <w:rPr>
          <w:lang w:val="es-EC"/>
        </w:rPr>
      </w:pPr>
      <w:r w:rsidRPr="002351D3">
        <w:rPr>
          <w:b/>
          <w:bCs/>
          <w:lang w:val="es-EC"/>
        </w:rPr>
        <w:t>Integración Económica:</w:t>
      </w:r>
      <w:r w:rsidRPr="002351D3">
        <w:rPr>
          <w:lang w:val="es-EC"/>
        </w:rPr>
        <w:t> Alinear la práctica contable del país con estándares internacionales, facilitando el comercio, la inversión extranjera y la integración en la economía global.</w:t>
      </w:r>
    </w:p>
    <w:p w14:paraId="26ED9887" w14:textId="77777777" w:rsidR="002351D3" w:rsidRPr="002351D3" w:rsidRDefault="002351D3" w:rsidP="002351D3">
      <w:pPr>
        <w:numPr>
          <w:ilvl w:val="0"/>
          <w:numId w:val="2"/>
        </w:numPr>
        <w:rPr>
          <w:lang w:val="es-EC"/>
        </w:rPr>
      </w:pPr>
      <w:r w:rsidRPr="002351D3">
        <w:rPr>
          <w:b/>
          <w:bCs/>
          <w:lang w:val="es-EC"/>
        </w:rPr>
        <w:lastRenderedPageBreak/>
        <w:t>Exigencias de Organismos Internacionales:</w:t>
      </w:r>
      <w:r w:rsidRPr="002351D3">
        <w:rPr>
          <w:lang w:val="es-EC"/>
        </w:rPr>
        <w:t> Fue un requisito dentro de acuerdos comerciales y financieros con organismos multilaterales.</w:t>
      </w:r>
    </w:p>
    <w:p w14:paraId="04012B78" w14:textId="77777777" w:rsidR="002351D3" w:rsidRPr="002351D3" w:rsidRDefault="002351D3" w:rsidP="002351D3">
      <w:pPr>
        <w:numPr>
          <w:ilvl w:val="0"/>
          <w:numId w:val="2"/>
        </w:numPr>
        <w:rPr>
          <w:lang w:val="es-EC"/>
        </w:rPr>
      </w:pPr>
      <w:r w:rsidRPr="002351D3">
        <w:rPr>
          <w:b/>
          <w:bCs/>
          <w:lang w:val="es-EC"/>
        </w:rPr>
        <w:t>Mejora de la Transparencia:</w:t>
      </w:r>
      <w:r w:rsidRPr="002351D3">
        <w:rPr>
          <w:lang w:val="es-EC"/>
        </w:rPr>
        <w:t> Fortalecer la confianza en la información financiera de las empresas ecuatorianas, combatiendo la evasión fiscal y el lavado de activos a través de una contabilidad más clara.</w:t>
      </w:r>
    </w:p>
    <w:p w14:paraId="3BED4574" w14:textId="77777777" w:rsidR="002351D3" w:rsidRPr="002351D3" w:rsidRDefault="002351D3" w:rsidP="002351D3">
      <w:pPr>
        <w:numPr>
          <w:ilvl w:val="0"/>
          <w:numId w:val="2"/>
        </w:numPr>
        <w:rPr>
          <w:lang w:val="es-EC"/>
        </w:rPr>
      </w:pPr>
      <w:r w:rsidRPr="002351D3">
        <w:rPr>
          <w:b/>
          <w:bCs/>
          <w:lang w:val="es-EC"/>
        </w:rPr>
        <w:t>Marco Legal:</w:t>
      </w:r>
      <w:r w:rsidRPr="002351D3">
        <w:rPr>
          <w:lang w:val="es-EC"/>
        </w:rPr>
        <w:t> La adopción fue formalizada mediante la </w:t>
      </w:r>
      <w:r w:rsidRPr="002351D3">
        <w:rPr>
          <w:b/>
          <w:bCs/>
          <w:lang w:val="es-EC"/>
        </w:rPr>
        <w:t>Ley Orgánica de Régimen Tributario Interno</w:t>
      </w:r>
      <w:r w:rsidRPr="002351D3">
        <w:rPr>
          <w:lang w:val="es-EC"/>
        </w:rPr>
        <w:t>, en su Disposición General Décima.</w:t>
      </w:r>
    </w:p>
    <w:p w14:paraId="188E4916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3. Qué instituciones velan por el cumplimiento de las NIIF en Ecuador</w:t>
      </w:r>
    </w:p>
    <w:p w14:paraId="25969195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Las instituciones principales son:</w:t>
      </w:r>
    </w:p>
    <w:p w14:paraId="1C5BCAA3" w14:textId="77777777" w:rsidR="002351D3" w:rsidRPr="002351D3" w:rsidRDefault="002351D3" w:rsidP="002351D3">
      <w:pPr>
        <w:numPr>
          <w:ilvl w:val="0"/>
          <w:numId w:val="3"/>
        </w:numPr>
        <w:rPr>
          <w:lang w:val="es-EC"/>
        </w:rPr>
      </w:pPr>
      <w:r w:rsidRPr="002351D3">
        <w:rPr>
          <w:b/>
          <w:bCs/>
          <w:lang w:val="es-EC"/>
        </w:rPr>
        <w:t>Superintendencia de Compañías, Valores y Seguros (SCVS):</w:t>
      </w:r>
      <w:r w:rsidRPr="002351D3">
        <w:rPr>
          <w:lang w:val="es-EC"/>
        </w:rPr>
        <w:t> Es el organismo de control principal. Emite regulaciones (resoluciones), supervisa y sanciona el incumplimiento de las NIIF por parte de las compañías bajo su ámbito.</w:t>
      </w:r>
    </w:p>
    <w:p w14:paraId="087989F6" w14:textId="77777777" w:rsidR="002351D3" w:rsidRPr="002351D3" w:rsidRDefault="002351D3" w:rsidP="002351D3">
      <w:pPr>
        <w:numPr>
          <w:ilvl w:val="0"/>
          <w:numId w:val="3"/>
        </w:numPr>
        <w:rPr>
          <w:lang w:val="es-EC"/>
        </w:rPr>
      </w:pPr>
      <w:r w:rsidRPr="002351D3">
        <w:rPr>
          <w:b/>
          <w:bCs/>
          <w:lang w:val="es-EC"/>
        </w:rPr>
        <w:t>Servicio de Rentas Internas (SRI):</w:t>
      </w:r>
      <w:r w:rsidRPr="002351D3">
        <w:rPr>
          <w:lang w:val="es-EC"/>
        </w:rPr>
        <w:t> Vela por la correcta aplicación de las NIIF para fines tributarios, asegurando que la determinación de la base imponible del impuesto a la renta parta de estados financieros confiables.</w:t>
      </w:r>
    </w:p>
    <w:p w14:paraId="39AE656E" w14:textId="77777777" w:rsidR="002351D3" w:rsidRPr="002351D3" w:rsidRDefault="002351D3" w:rsidP="002351D3">
      <w:pPr>
        <w:numPr>
          <w:ilvl w:val="0"/>
          <w:numId w:val="3"/>
        </w:numPr>
        <w:rPr>
          <w:lang w:val="es-EC"/>
        </w:rPr>
      </w:pPr>
      <w:r w:rsidRPr="002351D3">
        <w:rPr>
          <w:b/>
          <w:bCs/>
          <w:lang w:val="es-EC"/>
        </w:rPr>
        <w:t>Federación de Ecónomos del Ecuador (FENACOFEC):</w:t>
      </w:r>
      <w:r w:rsidRPr="002351D3">
        <w:rPr>
          <w:lang w:val="es-EC"/>
        </w:rPr>
        <w:t> Como gremio profesional, promueve la capacitación y actualización de los profesionales en contabilidad y auditoría sobre las NIIF.</w:t>
      </w:r>
    </w:p>
    <w:p w14:paraId="7275F63D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4. Cuáles son los principales estados financieros donde se aplican las NIIF. Dé una breve descripción de cada uno</w:t>
      </w:r>
    </w:p>
    <w:p w14:paraId="327474BA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De acuerdo con la NIIF 1, un conjunto completo de estados financieros incluye:</w:t>
      </w:r>
    </w:p>
    <w:p w14:paraId="38AED312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Estado de Situación Financiera (o Balance General):</w:t>
      </w:r>
      <w:r w:rsidRPr="002351D3">
        <w:rPr>
          <w:lang w:val="es-EC"/>
        </w:rPr>
        <w:t> Muestra la situación financiera de la empresa en una fecha específica. Presenta los </w:t>
      </w:r>
      <w:r w:rsidRPr="002351D3">
        <w:rPr>
          <w:b/>
          <w:bCs/>
          <w:lang w:val="es-EC"/>
        </w:rPr>
        <w:t>Activos</w:t>
      </w:r>
      <w:r w:rsidRPr="002351D3">
        <w:rPr>
          <w:lang w:val="es-EC"/>
        </w:rPr>
        <w:t> (lo que la empresa posee), </w:t>
      </w:r>
      <w:r w:rsidRPr="002351D3">
        <w:rPr>
          <w:b/>
          <w:bCs/>
          <w:lang w:val="es-EC"/>
        </w:rPr>
        <w:t>Pasivos</w:t>
      </w:r>
      <w:r w:rsidRPr="002351D3">
        <w:rPr>
          <w:lang w:val="es-EC"/>
        </w:rPr>
        <w:t> (lo que debe) y el </w:t>
      </w:r>
      <w:r w:rsidRPr="002351D3">
        <w:rPr>
          <w:b/>
          <w:bCs/>
          <w:lang w:val="es-EC"/>
        </w:rPr>
        <w:t>Patrimonio</w:t>
      </w:r>
      <w:r w:rsidRPr="002351D3">
        <w:rPr>
          <w:lang w:val="es-EC"/>
        </w:rPr>
        <w:t> (la diferencia, lo que pertenece a los accionistas).</w:t>
      </w:r>
    </w:p>
    <w:p w14:paraId="25E428AA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Estado de Resultados Integral (o Estado de Pérdidas y Ganancias):</w:t>
      </w:r>
      <w:r w:rsidRPr="002351D3">
        <w:rPr>
          <w:lang w:val="es-EC"/>
        </w:rPr>
        <w:t> Presenta el </w:t>
      </w:r>
      <w:r w:rsidRPr="002351D3">
        <w:rPr>
          <w:b/>
          <w:bCs/>
          <w:lang w:val="es-EC"/>
        </w:rPr>
        <w:t>desempeño financiero</w:t>
      </w:r>
      <w:r w:rsidRPr="002351D3">
        <w:rPr>
          <w:lang w:val="es-EC"/>
        </w:rPr>
        <w:t> de la empresa durante un período. Muestra los </w:t>
      </w:r>
      <w:r w:rsidRPr="002351D3">
        <w:rPr>
          <w:b/>
          <w:bCs/>
          <w:lang w:val="es-EC"/>
        </w:rPr>
        <w:t>Ingresos</w:t>
      </w:r>
      <w:r w:rsidRPr="002351D3">
        <w:rPr>
          <w:lang w:val="es-EC"/>
        </w:rPr>
        <w:t> generados y los </w:t>
      </w:r>
      <w:r w:rsidRPr="002351D3">
        <w:rPr>
          <w:b/>
          <w:bCs/>
          <w:lang w:val="es-EC"/>
        </w:rPr>
        <w:t>Gastos</w:t>
      </w:r>
      <w:r w:rsidRPr="002351D3">
        <w:rPr>
          <w:lang w:val="es-EC"/>
        </w:rPr>
        <w:t xml:space="preserve"> incurridos, para llegar a la utilidad o pérdida del período. La "resultado integral" incluye también partidas que afectan al </w:t>
      </w:r>
      <w:proofErr w:type="gramStart"/>
      <w:r w:rsidRPr="002351D3">
        <w:rPr>
          <w:lang w:val="es-EC"/>
        </w:rPr>
        <w:t>patrimonio</w:t>
      </w:r>
      <w:proofErr w:type="gramEnd"/>
      <w:r w:rsidRPr="002351D3">
        <w:rPr>
          <w:lang w:val="es-EC"/>
        </w:rPr>
        <w:t xml:space="preserve"> pero no al resultado neto (como ciertas ganancias por valoración).</w:t>
      </w:r>
    </w:p>
    <w:p w14:paraId="3CF8D467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lastRenderedPageBreak/>
        <w:t>Estado de Cambios en el Patrimonio:</w:t>
      </w:r>
      <w:r w:rsidRPr="002351D3">
        <w:rPr>
          <w:lang w:val="es-EC"/>
        </w:rPr>
        <w:t> Detalla los movimientos en las distintas cuentas del patrimonio neto durante el período, incluyendo el resultado del ejercicio, las contribuciones de los propietarios y las distribuciones de dividendos.</w:t>
      </w:r>
    </w:p>
    <w:p w14:paraId="30F95AAC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Estado de Flujos de Efectivo:</w:t>
      </w:r>
      <w:r w:rsidRPr="002351D3">
        <w:rPr>
          <w:lang w:val="es-EC"/>
        </w:rPr>
        <w:t> Clasifica los movimientos de efectivo de la empresa en tres actividades: </w:t>
      </w:r>
      <w:r w:rsidRPr="002351D3">
        <w:rPr>
          <w:b/>
          <w:bCs/>
          <w:lang w:val="es-EC"/>
        </w:rPr>
        <w:t>Operativas</w:t>
      </w:r>
      <w:r w:rsidRPr="002351D3">
        <w:rPr>
          <w:lang w:val="es-EC"/>
        </w:rPr>
        <w:t> (principal negocio), </w:t>
      </w:r>
      <w:r w:rsidRPr="002351D3">
        <w:rPr>
          <w:b/>
          <w:bCs/>
          <w:lang w:val="es-EC"/>
        </w:rPr>
        <w:t>De Inversión</w:t>
      </w:r>
      <w:r w:rsidRPr="002351D3">
        <w:rPr>
          <w:lang w:val="es-EC"/>
        </w:rPr>
        <w:t> (compra/venta de activos fijos) y </w:t>
      </w:r>
      <w:r w:rsidRPr="002351D3">
        <w:rPr>
          <w:b/>
          <w:bCs/>
          <w:lang w:val="es-EC"/>
        </w:rPr>
        <w:t>De Financiamiento</w:t>
      </w:r>
      <w:r w:rsidRPr="002351D3">
        <w:rPr>
          <w:lang w:val="es-EC"/>
        </w:rPr>
        <w:t> (préstamos, pago de dividendos). Muestra cómo se generó y se utilizó el efectivo.</w:t>
      </w:r>
    </w:p>
    <w:p w14:paraId="6918377F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Notas a los Estados Financieros:</w:t>
      </w:r>
      <w:r w:rsidRPr="002351D3">
        <w:rPr>
          <w:lang w:val="es-EC"/>
        </w:rPr>
        <w:t> Son una parte fundamental que contiene información detallada, políticas contables aplicadas y revelaciones adicionales requeridas por las NIIF, esenciales para entender los estados financieros.</w:t>
      </w:r>
    </w:p>
    <w:p w14:paraId="6115FA1F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5. Cómo se aplican las NIIF en Ecuador</w:t>
      </w:r>
    </w:p>
    <w:p w14:paraId="23296230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La aplicación en Ecuador es </w:t>
      </w:r>
      <w:r w:rsidRPr="002351D3">
        <w:rPr>
          <w:b/>
          <w:bCs/>
          <w:lang w:val="es-EC"/>
        </w:rPr>
        <w:t>gradual y obligatoria</w:t>
      </w:r>
      <w:r w:rsidRPr="002351D3">
        <w:rPr>
          <w:lang w:val="es-EC"/>
        </w:rPr>
        <w:t>, dependiendo del </w:t>
      </w:r>
      <w:r w:rsidRPr="002351D3">
        <w:rPr>
          <w:b/>
          <w:bCs/>
          <w:lang w:val="es-EC"/>
        </w:rPr>
        <w:t>tamaño y tipo de empresa</w:t>
      </w:r>
      <w:r w:rsidRPr="002351D3">
        <w:rPr>
          <w:lang w:val="es-EC"/>
        </w:rPr>
        <w:t>. La SCVS, a través de resoluciones (siendo la </w:t>
      </w:r>
      <w:r w:rsidRPr="002351D3">
        <w:rPr>
          <w:b/>
          <w:bCs/>
          <w:lang w:val="es-EC"/>
        </w:rPr>
        <w:t>Resolución SCVS-IRQ-DNCDN-2020-0038</w:t>
      </w:r>
      <w:r w:rsidRPr="002351D3">
        <w:rPr>
          <w:lang w:val="es-EC"/>
        </w:rPr>
        <w:t> y sus actualizaciones las más relevantes), ha establecido los marcos técnicos normativos:</w:t>
      </w:r>
    </w:p>
    <w:p w14:paraId="05A886A2" w14:textId="77777777" w:rsidR="002351D3" w:rsidRPr="002351D3" w:rsidRDefault="002351D3" w:rsidP="002351D3">
      <w:pPr>
        <w:numPr>
          <w:ilvl w:val="0"/>
          <w:numId w:val="5"/>
        </w:numPr>
        <w:rPr>
          <w:lang w:val="es-EC"/>
        </w:rPr>
      </w:pPr>
      <w:r w:rsidRPr="002351D3">
        <w:rPr>
          <w:b/>
          <w:bCs/>
          <w:lang w:val="es-EC"/>
        </w:rPr>
        <w:t>NIIF Plenas (o Completas):</w:t>
      </w:r>
      <w:r w:rsidRPr="002351D3">
        <w:rPr>
          <w:lang w:val="es-EC"/>
        </w:rPr>
        <w:t> Para empresas de interés público y grandes empresas.</w:t>
      </w:r>
    </w:p>
    <w:p w14:paraId="2D41BB5C" w14:textId="77777777" w:rsidR="002351D3" w:rsidRPr="002351D3" w:rsidRDefault="002351D3" w:rsidP="002351D3">
      <w:pPr>
        <w:numPr>
          <w:ilvl w:val="0"/>
          <w:numId w:val="5"/>
        </w:numPr>
        <w:rPr>
          <w:lang w:val="es-EC"/>
        </w:rPr>
      </w:pPr>
      <w:r w:rsidRPr="002351D3">
        <w:rPr>
          <w:b/>
          <w:bCs/>
          <w:lang w:val="es-EC"/>
        </w:rPr>
        <w:t>NIIF para PYMES (Normas para Pequeñas y Medianas Entidades):</w:t>
      </w:r>
      <w:r w:rsidRPr="002351D3">
        <w:rPr>
          <w:lang w:val="es-EC"/>
        </w:rPr>
        <w:t> Una versión simplificada para pymes que no son de interés público.</w:t>
      </w:r>
    </w:p>
    <w:p w14:paraId="4DBD8F57" w14:textId="77777777" w:rsidR="002351D3" w:rsidRPr="002351D3" w:rsidRDefault="002351D3" w:rsidP="002351D3">
      <w:pPr>
        <w:numPr>
          <w:ilvl w:val="0"/>
          <w:numId w:val="5"/>
        </w:numPr>
        <w:rPr>
          <w:lang w:val="es-EC"/>
        </w:rPr>
      </w:pPr>
      <w:r w:rsidRPr="002351D3">
        <w:rPr>
          <w:b/>
          <w:bCs/>
          <w:lang w:val="es-EC"/>
        </w:rPr>
        <w:t>NICSP (Normas Internacionales de Contabilidad del Sector Público):</w:t>
      </w:r>
      <w:r w:rsidRPr="002351D3">
        <w:rPr>
          <w:lang w:val="es-EC"/>
        </w:rPr>
        <w:t> Para las empresas del sector público.</w:t>
      </w:r>
    </w:p>
    <w:p w14:paraId="7C30CB0D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Cada grupo de empresas tiene fechas específicas de adopción obligatoria.</w:t>
      </w:r>
    </w:p>
    <w:p w14:paraId="76EAB8BE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6. Cómo se clasifican las empresas en Ecuador según su tamaño y cuáles son los límites exactos vigentes</w:t>
      </w:r>
    </w:p>
    <w:p w14:paraId="25BE3727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La clasificación vigente está definida en la </w:t>
      </w:r>
      <w:r w:rsidRPr="002351D3">
        <w:rPr>
          <w:b/>
          <w:bCs/>
          <w:lang w:val="es-EC"/>
        </w:rPr>
        <w:t>Resolución NAC.SGCIP.2023-0002</w:t>
      </w:r>
      <w:r w:rsidRPr="002351D3">
        <w:rPr>
          <w:lang w:val="es-EC"/>
        </w:rPr>
        <w:t> de la SCVS (actualizada a 2024). Los límites son: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579"/>
        <w:gridCol w:w="2579"/>
        <w:gridCol w:w="2245"/>
      </w:tblGrid>
      <w:tr w:rsidR="002351D3" w:rsidRPr="002351D3" w14:paraId="1D3DA3A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569CD3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Categoría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CB1355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Ingresos Anuales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B1850F" w14:textId="77777777" w:rsidR="002351D3" w:rsidRPr="002351D3" w:rsidRDefault="002351D3" w:rsidP="002351D3">
            <w:pPr>
              <w:rPr>
                <w:lang w:val="es-EC"/>
              </w:rPr>
            </w:pPr>
            <w:proofErr w:type="gramStart"/>
            <w:r w:rsidRPr="002351D3">
              <w:rPr>
                <w:lang w:val="es-EC"/>
              </w:rPr>
              <w:t>Total</w:t>
            </w:r>
            <w:proofErr w:type="gramEnd"/>
            <w:r w:rsidRPr="002351D3">
              <w:rPr>
                <w:lang w:val="es-EC"/>
              </w:rPr>
              <w:t xml:space="preserve"> Activos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4A80D8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Número de Trabajadores</w:t>
            </w:r>
          </w:p>
        </w:tc>
      </w:tr>
      <w:tr w:rsidR="002351D3" w:rsidRPr="002351D3" w14:paraId="094B77F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BB2410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Microempresa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636C15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$300.000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36152E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$300.000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D75E5A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19</w:t>
            </w:r>
          </w:p>
        </w:tc>
      </w:tr>
      <w:tr w:rsidR="002351D3" w:rsidRPr="002351D3" w14:paraId="1572EA8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460D55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lastRenderedPageBreak/>
              <w:t>Pequeña 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7A3E1C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$300.000 hasta $1'000.000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AD95E8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$300.000 hasta $1'000.000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5CC80A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49</w:t>
            </w:r>
          </w:p>
        </w:tc>
      </w:tr>
      <w:tr w:rsidR="002351D3" w:rsidRPr="002351D3" w14:paraId="4B319E8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9CB833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Mediana 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537756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$1'000.000 hasta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5ECFF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$1'000.000 hasta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31A271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199</w:t>
            </w:r>
          </w:p>
        </w:tc>
      </w:tr>
      <w:tr w:rsidR="002351D3" w:rsidRPr="002351D3" w14:paraId="21BC098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9C1E00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Gran 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37C83C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095E4B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733B70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200 o más</w:t>
            </w:r>
          </w:p>
        </w:tc>
      </w:tr>
    </w:tbl>
    <w:p w14:paraId="45C5A78D" w14:textId="77777777" w:rsidR="002351D3" w:rsidRPr="002351D3" w:rsidRDefault="002351D3" w:rsidP="002351D3">
      <w:pPr>
        <w:rPr>
          <w:lang w:val="es-EC"/>
        </w:rPr>
      </w:pPr>
      <w:r w:rsidRPr="002351D3">
        <w:rPr>
          <w:b/>
          <w:bCs/>
          <w:lang w:val="es-EC"/>
        </w:rPr>
        <w:t>Nota:</w:t>
      </w:r>
      <w:r w:rsidRPr="002351D3">
        <w:rPr>
          <w:lang w:val="es-EC"/>
        </w:rPr>
        <w:t> Una empresa se clasifica en una categoría si cumple </w:t>
      </w:r>
      <w:r w:rsidRPr="002351D3">
        <w:rPr>
          <w:b/>
          <w:bCs/>
          <w:lang w:val="es-EC"/>
        </w:rPr>
        <w:t>DOS de los TRES</w:t>
      </w:r>
      <w:r w:rsidRPr="002351D3">
        <w:rPr>
          <w:lang w:val="es-EC"/>
        </w:rPr>
        <w:t> criterios mencionados.</w:t>
      </w:r>
    </w:p>
    <w:p w14:paraId="4AB9B892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7. Cuáles son los tipos de sociedades mercantiles reconocidos legalmente en Ecuador. Explique brevemente cada una</w:t>
      </w:r>
    </w:p>
    <w:p w14:paraId="51EA858A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Según la </w:t>
      </w:r>
      <w:r w:rsidRPr="002351D3">
        <w:rPr>
          <w:b/>
          <w:bCs/>
          <w:lang w:val="es-EC"/>
        </w:rPr>
        <w:t>Ley de Compañías Ecuatoriana</w:t>
      </w:r>
      <w:r w:rsidRPr="002351D3">
        <w:rPr>
          <w:lang w:val="es-EC"/>
        </w:rPr>
        <w:t>, las principales son:</w:t>
      </w:r>
    </w:p>
    <w:p w14:paraId="2D11EA6E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Anónima (C.A.):</w:t>
      </w:r>
      <w:r w:rsidRPr="002351D3">
        <w:rPr>
          <w:lang w:val="es-EC"/>
        </w:rPr>
        <w:t> El capital está dividido en acciones. La responsabilidad de los accionistas se limita al monto de sus aportes. Es la forma más común para grandes empresas.</w:t>
      </w:r>
    </w:p>
    <w:p w14:paraId="235B5BFF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de Responsabilidad Limitada (Cía. Ltda.):</w:t>
      </w:r>
      <w:r w:rsidRPr="002351D3">
        <w:rPr>
          <w:lang w:val="es-EC"/>
        </w:rPr>
        <w:t> El capital está dividido en participaciones, no en acciones. Los socios responden hasta el monto de sus aportes. Es muy común para negocios familiares y PYMES.</w:t>
      </w:r>
    </w:p>
    <w:p w14:paraId="02E51DE8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en Comandita Simple:</w:t>
      </w:r>
      <w:r w:rsidRPr="002351D3">
        <w:rPr>
          <w:lang w:val="es-EC"/>
        </w:rPr>
        <w:t> Existen dos tipos de socios: los comanditados (que administran y responden ilimitadamente) y los comanditarios (que solo aportan capital y su responsabilidad es limitada).</w:t>
      </w:r>
    </w:p>
    <w:p w14:paraId="2AB8FFB6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en Comandita por Acciones:</w:t>
      </w:r>
      <w:r w:rsidRPr="002351D3">
        <w:rPr>
          <w:lang w:val="es-EC"/>
        </w:rPr>
        <w:t> Similar a la anterior, pero el capital de los socios comanditarios está representado en acciones.</w:t>
      </w:r>
    </w:p>
    <w:p w14:paraId="1636A5F7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de Economía Mixta:</w:t>
      </w:r>
      <w:r w:rsidRPr="002351D3">
        <w:rPr>
          <w:lang w:val="es-EC"/>
        </w:rPr>
        <w:t> Se constituye con aportes del sector público y del sector privado.</w:t>
      </w:r>
    </w:p>
    <w:p w14:paraId="4989ABBA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Empresa Pública:</w:t>
      </w:r>
      <w:r w:rsidRPr="002351D3">
        <w:rPr>
          <w:lang w:val="es-EC"/>
        </w:rPr>
        <w:t> Su capital y control pertenecen totalmente al Estado.</w:t>
      </w:r>
    </w:p>
    <w:p w14:paraId="418DE4D9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8. Para qué tipo de sociedades o empresa es obligatorio la aplicación de NIIF</w:t>
      </w:r>
    </w:p>
    <w:p w14:paraId="7B913058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Es obligatorio para:</w:t>
      </w:r>
    </w:p>
    <w:p w14:paraId="0BF8A62B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lastRenderedPageBreak/>
        <w:t>Todas las empresas clasificadas como de Interés Público</w:t>
      </w:r>
      <w:r w:rsidRPr="002351D3">
        <w:rPr>
          <w:lang w:val="es-EC"/>
        </w:rPr>
        <w:t> (Emisoras de valores, entidades del sistema financiero, aseguradoras, fondos de cesantía, etc.). Estas deben aplicar </w:t>
      </w:r>
      <w:r w:rsidRPr="002351D3">
        <w:rPr>
          <w:b/>
          <w:bCs/>
          <w:lang w:val="es-EC"/>
        </w:rPr>
        <w:t>NIIF Plenas</w:t>
      </w:r>
      <w:r w:rsidRPr="002351D3">
        <w:rPr>
          <w:lang w:val="es-EC"/>
        </w:rPr>
        <w:t>.</w:t>
      </w:r>
    </w:p>
    <w:p w14:paraId="5D0B7F62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Todas las Grandes Empresas</w:t>
      </w:r>
      <w:r w:rsidRPr="002351D3">
        <w:rPr>
          <w:lang w:val="es-EC"/>
        </w:rPr>
        <w:t> (según la clasificación de la pregunta 6). Pueden aplicar </w:t>
      </w:r>
      <w:r w:rsidRPr="002351D3">
        <w:rPr>
          <w:b/>
          <w:bCs/>
          <w:lang w:val="es-EC"/>
        </w:rPr>
        <w:t>NIIF Plenas</w:t>
      </w:r>
      <w:r w:rsidRPr="002351D3">
        <w:rPr>
          <w:lang w:val="es-EC"/>
        </w:rPr>
        <w:t> o </w:t>
      </w:r>
      <w:r w:rsidRPr="002351D3">
        <w:rPr>
          <w:b/>
          <w:bCs/>
          <w:lang w:val="es-EC"/>
        </w:rPr>
        <w:t>NIIF para PYMES</w:t>
      </w:r>
      <w:r w:rsidRPr="002351D3">
        <w:rPr>
          <w:lang w:val="es-EC"/>
        </w:rPr>
        <w:t> (aunque la tendencia es que las grandes usen las Plenas).</w:t>
      </w:r>
    </w:p>
    <w:p w14:paraId="1D22C28C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Las Pequeñas y Medianas Empresas (PYMES)</w:t>
      </w:r>
      <w:r w:rsidRPr="002351D3">
        <w:rPr>
          <w:lang w:val="es-EC"/>
        </w:rPr>
        <w:t> que no son de interés público deben aplicar las </w:t>
      </w:r>
      <w:r w:rsidRPr="002351D3">
        <w:rPr>
          <w:b/>
          <w:bCs/>
          <w:lang w:val="es-EC"/>
        </w:rPr>
        <w:t>NIIF para PYMES</w:t>
      </w:r>
      <w:r w:rsidRPr="002351D3">
        <w:rPr>
          <w:lang w:val="es-EC"/>
        </w:rPr>
        <w:t>.</w:t>
      </w:r>
    </w:p>
    <w:p w14:paraId="598E3692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Las Microempresas</w:t>
      </w:r>
      <w:r w:rsidRPr="002351D3">
        <w:rPr>
          <w:lang w:val="es-EC"/>
        </w:rPr>
        <w:t> tienen un régimen simplificado y, aunque se basan en principios de NIIF, no están obligadas a su aplicación plena; usan el "Registro Contable Simplificado".</w:t>
      </w:r>
    </w:p>
    <w:p w14:paraId="3FD06458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9. Qué impacto tiene la aplicación de las NIIF en las áreas clave de la empresa</w:t>
      </w:r>
    </w:p>
    <w:p w14:paraId="38A64DA0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Finanzas: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Alto.</w:t>
      </w:r>
      <w:r w:rsidRPr="002351D3">
        <w:rPr>
          <w:lang w:val="es-EC"/>
        </w:rPr>
        <w:t> Se requiere una reestructuración completa de los reportes financieros. Mejora la transparencia y credibilidad, facilitando el acceso a crédito y atracción de inversionistas. Exige un profundo conocimiento técnico de las nuevas normas por parte del departamento.</w:t>
      </w:r>
    </w:p>
    <w:p w14:paraId="5EFCBBCE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Operaciones: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Indirecto.</w:t>
      </w:r>
      <w:r w:rsidRPr="002351D3">
        <w:rPr>
          <w:lang w:val="es-EC"/>
        </w:rPr>
        <w:t> </w:t>
      </w:r>
      <w:r w:rsidRPr="002351D3">
        <w:rPr>
          <w:u w:val="single"/>
          <w:lang w:val="es-EC"/>
        </w:rPr>
        <w:t>Los sistemas de costos y la forma de capitalizar gastos (por ejemplo, en inventarios o activos fijos) pueden cambiar, afectando la medición de la rentabilidad operativa.</w:t>
      </w:r>
    </w:p>
    <w:p w14:paraId="20BDAF05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Tecnología (TI):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Alto.</w:t>
      </w:r>
      <w:r w:rsidRPr="002351D3">
        <w:rPr>
          <w:lang w:val="es-EC"/>
        </w:rPr>
        <w:t xml:space="preserve"> Es casi obligatoria la adquisición o actualización del software contable/financiero para que pueda generar los nuevos reportes y manejar los requisitos de revelación de las NIIF. La </w:t>
      </w:r>
      <w:r w:rsidRPr="002351D3">
        <w:rPr>
          <w:u w:val="single"/>
          <w:lang w:val="es-EC"/>
        </w:rPr>
        <w:t>capacitación</w:t>
      </w:r>
      <w:r w:rsidRPr="002351D3">
        <w:rPr>
          <w:lang w:val="es-EC"/>
        </w:rPr>
        <w:t xml:space="preserve"> del personal en el nuevo sistema es crucial.</w:t>
      </w:r>
    </w:p>
    <w:p w14:paraId="27F01CD9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Recursos Humanos: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Medio.</w:t>
      </w:r>
      <w:r w:rsidRPr="002351D3">
        <w:rPr>
          <w:lang w:val="es-EC"/>
        </w:rPr>
        <w:t> Se necesita capacitar masivamente al personal de contabilidad y finanzas. Además, los sistemas de compensación basados en resultados (bonos) pueden verse afectados si los resultados contables cambian bajo NIIF.</w:t>
      </w:r>
    </w:p>
    <w:p w14:paraId="418F75FE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Gerencia: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Crítico.</w:t>
      </w:r>
      <w:r w:rsidRPr="002351D3">
        <w:rPr>
          <w:lang w:val="es-EC"/>
        </w:rPr>
        <w:t> La alta dirección debe comprender la nueva información para la toma de decisiones estratégicas. La gestión del cambio es fundamental. Los indicadores de gestión (</w:t>
      </w:r>
      <w:proofErr w:type="spellStart"/>
      <w:r w:rsidRPr="002351D3">
        <w:rPr>
          <w:lang w:val="es-EC"/>
        </w:rPr>
        <w:t>KPIs</w:t>
      </w:r>
      <w:proofErr w:type="spellEnd"/>
      <w:r w:rsidRPr="002351D3">
        <w:rPr>
          <w:lang w:val="es-EC"/>
        </w:rPr>
        <w:t>) basados en estados financieros pueden variar, requiriendo un nuevo análisis del desempeño de la compañía.</w:t>
      </w:r>
    </w:p>
    <w:p w14:paraId="03BE3890" w14:textId="77777777" w:rsidR="00D165C8" w:rsidRPr="002351D3" w:rsidRDefault="00D165C8">
      <w:pPr>
        <w:rPr>
          <w:lang w:val="es-EC"/>
        </w:rPr>
      </w:pPr>
    </w:p>
    <w:sectPr w:rsidR="00D165C8" w:rsidRPr="002351D3" w:rsidSect="00295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2A5C8" w14:textId="77777777" w:rsidR="002542AA" w:rsidRDefault="002542AA" w:rsidP="00BF66C9">
      <w:pPr>
        <w:spacing w:after="0" w:line="240" w:lineRule="auto"/>
      </w:pPr>
      <w:r>
        <w:separator/>
      </w:r>
    </w:p>
  </w:endnote>
  <w:endnote w:type="continuationSeparator" w:id="0">
    <w:p w14:paraId="7C6B3559" w14:textId="77777777" w:rsidR="002542AA" w:rsidRDefault="002542AA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578E3" w14:textId="77777777" w:rsidR="002542AA" w:rsidRDefault="002542AA" w:rsidP="00BF66C9">
      <w:pPr>
        <w:spacing w:after="0" w:line="240" w:lineRule="auto"/>
      </w:pPr>
      <w:r>
        <w:separator/>
      </w:r>
    </w:p>
  </w:footnote>
  <w:footnote w:type="continuationSeparator" w:id="0">
    <w:p w14:paraId="2F1B6D76" w14:textId="77777777" w:rsidR="002542AA" w:rsidRDefault="002542AA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F11"/>
    <w:multiLevelType w:val="multilevel"/>
    <w:tmpl w:val="1EB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161A8"/>
    <w:multiLevelType w:val="multilevel"/>
    <w:tmpl w:val="701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50419"/>
    <w:multiLevelType w:val="multilevel"/>
    <w:tmpl w:val="D50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5381"/>
    <w:multiLevelType w:val="multilevel"/>
    <w:tmpl w:val="A1A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13676"/>
    <w:multiLevelType w:val="multilevel"/>
    <w:tmpl w:val="F12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8727B"/>
    <w:multiLevelType w:val="multilevel"/>
    <w:tmpl w:val="36A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B658D"/>
    <w:multiLevelType w:val="multilevel"/>
    <w:tmpl w:val="37CC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E1E07"/>
    <w:multiLevelType w:val="multilevel"/>
    <w:tmpl w:val="60B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07921">
    <w:abstractNumId w:val="4"/>
  </w:num>
  <w:num w:numId="2" w16cid:durableId="675227758">
    <w:abstractNumId w:val="7"/>
  </w:num>
  <w:num w:numId="3" w16cid:durableId="149291563">
    <w:abstractNumId w:val="3"/>
  </w:num>
  <w:num w:numId="4" w16cid:durableId="1649749232">
    <w:abstractNumId w:val="6"/>
  </w:num>
  <w:num w:numId="5" w16cid:durableId="1071583283">
    <w:abstractNumId w:val="2"/>
  </w:num>
  <w:num w:numId="6" w16cid:durableId="1409617803">
    <w:abstractNumId w:val="5"/>
  </w:num>
  <w:num w:numId="7" w16cid:durableId="1735658390">
    <w:abstractNumId w:val="0"/>
  </w:num>
  <w:num w:numId="8" w16cid:durableId="140806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173433"/>
    <w:rsid w:val="002351D3"/>
    <w:rsid w:val="002542AA"/>
    <w:rsid w:val="00276372"/>
    <w:rsid w:val="00295132"/>
    <w:rsid w:val="005A1F25"/>
    <w:rsid w:val="0063102C"/>
    <w:rsid w:val="00793763"/>
    <w:rsid w:val="008D5683"/>
    <w:rsid w:val="009644BB"/>
    <w:rsid w:val="00BF66C9"/>
    <w:rsid w:val="00D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1346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6</cp:revision>
  <dcterms:created xsi:type="dcterms:W3CDTF">2025-10-03T00:21:00Z</dcterms:created>
  <dcterms:modified xsi:type="dcterms:W3CDTF">2025-10-03T00:29:00Z</dcterms:modified>
</cp:coreProperties>
</file>