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ABDEA" w14:textId="679265C8" w:rsidR="000E790B" w:rsidRDefault="00C032D3">
      <w:pPr>
        <w:rPr>
          <w:b/>
          <w:bCs/>
          <w:sz w:val="40"/>
          <w:szCs w:val="40"/>
          <w:lang w:val="en-US"/>
        </w:rPr>
      </w:pPr>
      <w:proofErr w:type="spellStart"/>
      <w:r w:rsidRPr="00C032D3">
        <w:rPr>
          <w:b/>
          <w:bCs/>
          <w:sz w:val="40"/>
          <w:szCs w:val="40"/>
          <w:lang w:val="en-US"/>
        </w:rPr>
        <w:t>Pregunta</w:t>
      </w:r>
      <w:proofErr w:type="spellEnd"/>
      <w:r w:rsidRPr="00C032D3">
        <w:rPr>
          <w:b/>
          <w:bCs/>
          <w:sz w:val="40"/>
          <w:szCs w:val="40"/>
          <w:lang w:val="en-US"/>
        </w:rPr>
        <w:t xml:space="preserve"> 5</w:t>
      </w:r>
    </w:p>
    <w:p w14:paraId="5DA9E275" w14:textId="77777777" w:rsidR="00C032D3" w:rsidRDefault="00C032D3" w:rsidP="00C032D3">
      <w:pPr>
        <w:pStyle w:val="yxme4"/>
        <w:numPr>
          <w:ilvl w:val="0"/>
          <w:numId w:val="2"/>
        </w:numPr>
        <w:spacing w:before="0" w:beforeAutospacing="0" w:after="0" w:afterAutospacing="0"/>
        <w:textAlignment w:val="baseline"/>
        <w:rPr>
          <w:rFonts w:ascii="Arial" w:hAnsi="Arial" w:cs="Arial"/>
          <w:color w:val="000000"/>
        </w:rPr>
      </w:pPr>
      <w:r>
        <w:rPr>
          <w:rStyle w:val="Textoennegrita"/>
          <w:rFonts w:ascii="Arial" w:hAnsi="Arial" w:cs="Arial"/>
          <w:color w:val="000000"/>
          <w:bdr w:val="none" w:sz="0" w:space="0" w:color="auto" w:frame="1"/>
        </w:rPr>
        <w:t>Si se creara 4 categorías para la variable tipo de producto, ¿cuál categoría   es la más frecuente?</w:t>
      </w:r>
    </w:p>
    <w:p w14:paraId="5961893B" w14:textId="67549303" w:rsidR="00C032D3" w:rsidRDefault="00C032D3" w:rsidP="00C032D3">
      <w:pPr>
        <w:pStyle w:val="yxme4"/>
        <w:spacing w:before="0" w:beforeAutospacing="0" w:after="0" w:afterAutospacing="0"/>
        <w:textAlignment w:val="baseline"/>
        <w:rPr>
          <w:rFonts w:ascii="Arial" w:hAnsi="Arial" w:cs="Arial"/>
          <w:color w:val="000000"/>
        </w:rPr>
      </w:pPr>
      <w:r>
        <w:rPr>
          <w:rStyle w:val="muhec"/>
          <w:rFonts w:ascii="Arial" w:hAnsi="Arial" w:cs="Arial"/>
          <w:color w:val="000000"/>
          <w:bdr w:val="none" w:sz="0" w:space="0" w:color="auto" w:frame="1"/>
        </w:rPr>
        <w:t xml:space="preserve">Crear las 4 categorías y comenzar a distribuir los datos dentro de las categorías creadas, para posteriormente representar estos datos en un </w:t>
      </w:r>
      <w:r>
        <w:rPr>
          <w:rStyle w:val="Textoennegrita"/>
          <w:rFonts w:ascii="Arial" w:hAnsi="Arial" w:cs="Arial"/>
          <w:color w:val="000000"/>
          <w:bdr w:val="none" w:sz="0" w:space="0" w:color="auto" w:frame="1"/>
        </w:rPr>
        <w:t>diagrama de pastel o torta</w:t>
      </w:r>
      <w:r>
        <w:rPr>
          <w:rStyle w:val="muhec"/>
          <w:rFonts w:ascii="Arial" w:hAnsi="Arial" w:cs="Arial"/>
          <w:color w:val="000000"/>
          <w:bdr w:val="none" w:sz="0" w:space="0" w:color="auto" w:frame="1"/>
        </w:rPr>
        <w:t> para que se facilite la visualización de cu</w:t>
      </w:r>
      <w:r w:rsidR="00594A39">
        <w:rPr>
          <w:rStyle w:val="muhec"/>
          <w:rFonts w:ascii="Arial" w:hAnsi="Arial" w:cs="Arial"/>
          <w:color w:val="000000"/>
          <w:bdr w:val="none" w:sz="0" w:space="0" w:color="auto" w:frame="1"/>
        </w:rPr>
        <w:t>á</w:t>
      </w:r>
      <w:r>
        <w:rPr>
          <w:rStyle w:val="muhec"/>
          <w:rFonts w:ascii="Arial" w:hAnsi="Arial" w:cs="Arial"/>
          <w:color w:val="000000"/>
          <w:bdr w:val="none" w:sz="0" w:space="0" w:color="auto" w:frame="1"/>
        </w:rPr>
        <w:t>l es la más frecuente.</w:t>
      </w:r>
    </w:p>
    <w:p w14:paraId="0DDA7766" w14:textId="77777777" w:rsidR="00C032D3" w:rsidRDefault="00C032D3" w:rsidP="00C032D3">
      <w:pPr>
        <w:pStyle w:val="yxme4"/>
        <w:spacing w:before="0" w:beforeAutospacing="0" w:after="0" w:afterAutospacing="0"/>
        <w:textAlignment w:val="baseline"/>
        <w:rPr>
          <w:rFonts w:ascii="Arial" w:hAnsi="Arial" w:cs="Arial"/>
          <w:color w:val="000000"/>
        </w:rPr>
      </w:pPr>
      <w:r>
        <w:rPr>
          <w:rStyle w:val="muhec"/>
          <w:rFonts w:ascii="Arial" w:hAnsi="Arial" w:cs="Arial"/>
          <w:color w:val="000000"/>
          <w:bdr w:val="none" w:sz="0" w:space="0" w:color="auto" w:frame="1"/>
        </w:rPr>
        <w:t>diagrama de pastel</w:t>
      </w:r>
    </w:p>
    <w:p w14:paraId="76578896" w14:textId="77777777" w:rsidR="00C032D3" w:rsidRDefault="00C032D3">
      <w:pPr>
        <w:rPr>
          <w:b/>
          <w:bCs/>
          <w:sz w:val="40"/>
          <w:szCs w:val="40"/>
          <w:lang w:val="en-US"/>
        </w:rPr>
      </w:pPr>
    </w:p>
    <w:p w14:paraId="560E794E" w14:textId="59CB2995" w:rsidR="00C032D3" w:rsidRPr="00C032D3" w:rsidRDefault="00C032D3" w:rsidP="00C032D3">
      <w:pPr>
        <w:jc w:val="both"/>
        <w:rPr>
          <w:sz w:val="28"/>
          <w:szCs w:val="28"/>
        </w:rPr>
      </w:pPr>
      <w:r w:rsidRPr="00C032D3">
        <w:rPr>
          <w:sz w:val="28"/>
          <w:szCs w:val="28"/>
        </w:rPr>
        <w:t>Lo primero que vamos a hacer es crear 4 categorías que nos permitan asignar cada tipo de producto dentro de estás nuevas categorías ordenadas según su naturaleza</w:t>
      </w:r>
      <w:r>
        <w:rPr>
          <w:sz w:val="28"/>
          <w:szCs w:val="28"/>
        </w:rPr>
        <w:t>, las categorías elegidas son</w:t>
      </w:r>
      <w:r w:rsidRPr="00C032D3">
        <w:rPr>
          <w:sz w:val="28"/>
          <w:szCs w:val="28"/>
        </w:rPr>
        <w:t xml:space="preserve">: </w:t>
      </w:r>
    </w:p>
    <w:p w14:paraId="2D50FA36" w14:textId="75866CF4" w:rsidR="00C032D3" w:rsidRPr="00C032D3" w:rsidRDefault="00C032D3" w:rsidP="00C032D3">
      <w:pPr>
        <w:pStyle w:val="Prrafodelista"/>
        <w:numPr>
          <w:ilvl w:val="0"/>
          <w:numId w:val="1"/>
        </w:numPr>
        <w:jc w:val="both"/>
        <w:rPr>
          <w:sz w:val="28"/>
          <w:szCs w:val="28"/>
        </w:rPr>
      </w:pPr>
      <w:r w:rsidRPr="00C032D3">
        <w:rPr>
          <w:sz w:val="28"/>
          <w:szCs w:val="28"/>
        </w:rPr>
        <w:t>Alimentos y Bebidas</w:t>
      </w:r>
    </w:p>
    <w:p w14:paraId="169BBAC4" w14:textId="1C965C9E" w:rsidR="00C032D3" w:rsidRPr="00C032D3" w:rsidRDefault="00C032D3" w:rsidP="00C032D3">
      <w:pPr>
        <w:pStyle w:val="Prrafodelista"/>
        <w:numPr>
          <w:ilvl w:val="0"/>
          <w:numId w:val="1"/>
        </w:numPr>
        <w:jc w:val="both"/>
        <w:rPr>
          <w:sz w:val="28"/>
          <w:szCs w:val="28"/>
        </w:rPr>
      </w:pPr>
      <w:r w:rsidRPr="00C032D3">
        <w:rPr>
          <w:sz w:val="28"/>
          <w:szCs w:val="28"/>
        </w:rPr>
        <w:t>Cuidado Personal y Cosméticos</w:t>
      </w:r>
    </w:p>
    <w:p w14:paraId="6F58C02D" w14:textId="54DFAC73" w:rsidR="00C032D3" w:rsidRPr="00C032D3" w:rsidRDefault="00C032D3" w:rsidP="00C032D3">
      <w:pPr>
        <w:pStyle w:val="Prrafodelista"/>
        <w:numPr>
          <w:ilvl w:val="0"/>
          <w:numId w:val="1"/>
        </w:numPr>
        <w:jc w:val="both"/>
        <w:rPr>
          <w:sz w:val="28"/>
          <w:szCs w:val="28"/>
        </w:rPr>
      </w:pPr>
      <w:r w:rsidRPr="00C032D3">
        <w:rPr>
          <w:sz w:val="28"/>
          <w:szCs w:val="28"/>
        </w:rPr>
        <w:t>Ropa y Accesorios</w:t>
      </w:r>
    </w:p>
    <w:p w14:paraId="486917FC" w14:textId="61831C3F" w:rsidR="00C032D3" w:rsidRDefault="00C032D3" w:rsidP="00C032D3">
      <w:pPr>
        <w:pStyle w:val="Prrafodelista"/>
        <w:numPr>
          <w:ilvl w:val="0"/>
          <w:numId w:val="1"/>
        </w:numPr>
        <w:jc w:val="both"/>
        <w:rPr>
          <w:sz w:val="28"/>
          <w:szCs w:val="28"/>
        </w:rPr>
      </w:pPr>
      <w:r w:rsidRPr="00C032D3">
        <w:rPr>
          <w:sz w:val="28"/>
          <w:szCs w:val="28"/>
        </w:rPr>
        <w:t>Materiales y Productos del Hogar</w:t>
      </w:r>
    </w:p>
    <w:p w14:paraId="7DDF82B6" w14:textId="284F0A2E" w:rsidR="00C032D3" w:rsidRDefault="00C032D3" w:rsidP="00C032D3">
      <w:pPr>
        <w:jc w:val="both"/>
        <w:rPr>
          <w:sz w:val="28"/>
          <w:szCs w:val="28"/>
        </w:rPr>
      </w:pPr>
      <w:r>
        <w:rPr>
          <w:sz w:val="28"/>
          <w:szCs w:val="28"/>
        </w:rPr>
        <w:t xml:space="preserve">Luego agrupamos cada variable en su categoría: </w:t>
      </w:r>
    </w:p>
    <w:p w14:paraId="6D873AE3" w14:textId="77777777" w:rsidR="00C032D3" w:rsidRPr="00C032D3" w:rsidRDefault="00C032D3" w:rsidP="00C032D3">
      <w:pPr>
        <w:jc w:val="both"/>
        <w:rPr>
          <w:b/>
          <w:bCs/>
          <w:sz w:val="28"/>
          <w:szCs w:val="28"/>
        </w:rPr>
      </w:pPr>
      <w:r w:rsidRPr="00C032D3">
        <w:rPr>
          <w:b/>
          <w:bCs/>
          <w:sz w:val="28"/>
          <w:szCs w:val="28"/>
        </w:rPr>
        <w:t>1. Alimentos y Bebidas</w:t>
      </w:r>
    </w:p>
    <w:p w14:paraId="77EB03DB" w14:textId="77777777" w:rsidR="00C032D3" w:rsidRPr="00C032D3" w:rsidRDefault="00C032D3" w:rsidP="00C032D3">
      <w:pPr>
        <w:jc w:val="both"/>
        <w:rPr>
          <w:sz w:val="28"/>
          <w:szCs w:val="28"/>
        </w:rPr>
      </w:pPr>
      <w:r w:rsidRPr="00C032D3">
        <w:rPr>
          <w:sz w:val="28"/>
          <w:szCs w:val="28"/>
        </w:rPr>
        <w:t>Snacks</w:t>
      </w:r>
    </w:p>
    <w:p w14:paraId="0DFFF042" w14:textId="77777777" w:rsidR="00C032D3" w:rsidRPr="00C032D3" w:rsidRDefault="00C032D3" w:rsidP="00C032D3">
      <w:pPr>
        <w:jc w:val="both"/>
        <w:rPr>
          <w:sz w:val="28"/>
          <w:szCs w:val="28"/>
        </w:rPr>
      </w:pPr>
      <w:r w:rsidRPr="00C032D3">
        <w:rPr>
          <w:sz w:val="28"/>
          <w:szCs w:val="28"/>
        </w:rPr>
        <w:t>Cárnicos</w:t>
      </w:r>
    </w:p>
    <w:p w14:paraId="2EB0C5A8" w14:textId="77777777" w:rsidR="00C032D3" w:rsidRPr="00C032D3" w:rsidRDefault="00C032D3" w:rsidP="00C032D3">
      <w:pPr>
        <w:jc w:val="both"/>
        <w:rPr>
          <w:sz w:val="28"/>
          <w:szCs w:val="28"/>
        </w:rPr>
      </w:pPr>
      <w:r w:rsidRPr="00C032D3">
        <w:rPr>
          <w:sz w:val="28"/>
          <w:szCs w:val="28"/>
        </w:rPr>
        <w:t>Cereales</w:t>
      </w:r>
    </w:p>
    <w:p w14:paraId="4E9B81EA" w14:textId="77777777" w:rsidR="00C032D3" w:rsidRPr="00C032D3" w:rsidRDefault="00C032D3" w:rsidP="00C032D3">
      <w:pPr>
        <w:jc w:val="both"/>
        <w:rPr>
          <w:sz w:val="28"/>
          <w:szCs w:val="28"/>
        </w:rPr>
      </w:pPr>
      <w:r w:rsidRPr="00C032D3">
        <w:rPr>
          <w:sz w:val="28"/>
          <w:szCs w:val="28"/>
        </w:rPr>
        <w:t>Frutas</w:t>
      </w:r>
    </w:p>
    <w:p w14:paraId="3ED3DD94" w14:textId="77777777" w:rsidR="00C032D3" w:rsidRPr="00C032D3" w:rsidRDefault="00C032D3" w:rsidP="00C032D3">
      <w:pPr>
        <w:jc w:val="both"/>
        <w:rPr>
          <w:sz w:val="28"/>
          <w:szCs w:val="28"/>
        </w:rPr>
      </w:pPr>
      <w:r w:rsidRPr="00C032D3">
        <w:rPr>
          <w:sz w:val="28"/>
          <w:szCs w:val="28"/>
        </w:rPr>
        <w:t>Alimento infantil</w:t>
      </w:r>
    </w:p>
    <w:p w14:paraId="60E83BFF" w14:textId="77777777" w:rsidR="00C032D3" w:rsidRPr="00C032D3" w:rsidRDefault="00C032D3" w:rsidP="00C032D3">
      <w:pPr>
        <w:jc w:val="both"/>
        <w:rPr>
          <w:sz w:val="28"/>
          <w:szCs w:val="28"/>
        </w:rPr>
      </w:pPr>
      <w:r w:rsidRPr="00C032D3">
        <w:rPr>
          <w:sz w:val="28"/>
          <w:szCs w:val="28"/>
        </w:rPr>
        <w:t>Bebida</w:t>
      </w:r>
    </w:p>
    <w:p w14:paraId="48529F8B" w14:textId="77777777" w:rsidR="00C032D3" w:rsidRPr="00C032D3" w:rsidRDefault="00C032D3" w:rsidP="00C032D3">
      <w:pPr>
        <w:jc w:val="both"/>
        <w:rPr>
          <w:sz w:val="28"/>
          <w:szCs w:val="28"/>
        </w:rPr>
      </w:pPr>
      <w:r w:rsidRPr="00C032D3">
        <w:rPr>
          <w:sz w:val="28"/>
          <w:szCs w:val="28"/>
        </w:rPr>
        <w:t>Verduras</w:t>
      </w:r>
    </w:p>
    <w:p w14:paraId="24BF85A5" w14:textId="77777777" w:rsidR="00C032D3" w:rsidRPr="00C032D3" w:rsidRDefault="00C032D3" w:rsidP="00C032D3">
      <w:pPr>
        <w:jc w:val="both"/>
        <w:rPr>
          <w:b/>
          <w:bCs/>
          <w:sz w:val="28"/>
          <w:szCs w:val="28"/>
        </w:rPr>
      </w:pPr>
      <w:r w:rsidRPr="00C032D3">
        <w:rPr>
          <w:b/>
          <w:bCs/>
          <w:sz w:val="28"/>
          <w:szCs w:val="28"/>
        </w:rPr>
        <w:t>2. Cuidado Personal y Cosméticos</w:t>
      </w:r>
    </w:p>
    <w:p w14:paraId="6276BEDD" w14:textId="77777777" w:rsidR="00C032D3" w:rsidRPr="00C032D3" w:rsidRDefault="00C032D3" w:rsidP="00C032D3">
      <w:pPr>
        <w:jc w:val="both"/>
        <w:rPr>
          <w:sz w:val="28"/>
          <w:szCs w:val="28"/>
        </w:rPr>
      </w:pPr>
      <w:r w:rsidRPr="00C032D3">
        <w:rPr>
          <w:sz w:val="28"/>
          <w:szCs w:val="28"/>
        </w:rPr>
        <w:t>Cosméticos</w:t>
      </w:r>
    </w:p>
    <w:p w14:paraId="00851FC5" w14:textId="77777777" w:rsidR="00C032D3" w:rsidRPr="00C032D3" w:rsidRDefault="00C032D3" w:rsidP="00C032D3">
      <w:pPr>
        <w:jc w:val="both"/>
        <w:rPr>
          <w:sz w:val="28"/>
          <w:szCs w:val="28"/>
        </w:rPr>
      </w:pPr>
      <w:r w:rsidRPr="00C032D3">
        <w:rPr>
          <w:sz w:val="28"/>
          <w:szCs w:val="28"/>
        </w:rPr>
        <w:t>Cuidado personal</w:t>
      </w:r>
    </w:p>
    <w:p w14:paraId="0E20893C" w14:textId="77777777" w:rsidR="00C032D3" w:rsidRPr="00C032D3" w:rsidRDefault="00C032D3" w:rsidP="00C032D3">
      <w:pPr>
        <w:jc w:val="both"/>
        <w:rPr>
          <w:b/>
          <w:bCs/>
          <w:sz w:val="28"/>
          <w:szCs w:val="28"/>
        </w:rPr>
      </w:pPr>
      <w:r w:rsidRPr="00C032D3">
        <w:rPr>
          <w:b/>
          <w:bCs/>
          <w:sz w:val="28"/>
          <w:szCs w:val="28"/>
        </w:rPr>
        <w:t>3. Ropa y Accesorios</w:t>
      </w:r>
    </w:p>
    <w:p w14:paraId="113D6CE9" w14:textId="77777777" w:rsidR="00C032D3" w:rsidRPr="00C032D3" w:rsidRDefault="00C032D3" w:rsidP="00C032D3">
      <w:pPr>
        <w:jc w:val="both"/>
        <w:rPr>
          <w:sz w:val="28"/>
          <w:szCs w:val="28"/>
        </w:rPr>
      </w:pPr>
      <w:r w:rsidRPr="00C032D3">
        <w:rPr>
          <w:sz w:val="28"/>
          <w:szCs w:val="28"/>
        </w:rPr>
        <w:t>Ropa</w:t>
      </w:r>
    </w:p>
    <w:p w14:paraId="7C87E8C4" w14:textId="77777777" w:rsidR="00C032D3" w:rsidRPr="00C032D3" w:rsidRDefault="00C032D3" w:rsidP="00C032D3">
      <w:pPr>
        <w:jc w:val="both"/>
        <w:rPr>
          <w:b/>
          <w:bCs/>
          <w:sz w:val="28"/>
          <w:szCs w:val="28"/>
        </w:rPr>
      </w:pPr>
      <w:r w:rsidRPr="00C032D3">
        <w:rPr>
          <w:b/>
          <w:bCs/>
          <w:sz w:val="28"/>
          <w:szCs w:val="28"/>
        </w:rPr>
        <w:t>4. Materiales y Productos del Hogar</w:t>
      </w:r>
    </w:p>
    <w:p w14:paraId="04F99FA7" w14:textId="77777777" w:rsidR="00C032D3" w:rsidRPr="00C032D3" w:rsidRDefault="00C032D3" w:rsidP="00C032D3">
      <w:pPr>
        <w:jc w:val="both"/>
        <w:rPr>
          <w:sz w:val="28"/>
          <w:szCs w:val="28"/>
        </w:rPr>
      </w:pPr>
      <w:r w:rsidRPr="00C032D3">
        <w:rPr>
          <w:sz w:val="28"/>
          <w:szCs w:val="28"/>
        </w:rPr>
        <w:lastRenderedPageBreak/>
        <w:t>Material de oficina</w:t>
      </w:r>
    </w:p>
    <w:p w14:paraId="7B464F63" w14:textId="2448A8AA" w:rsidR="00C032D3" w:rsidRDefault="00C032D3" w:rsidP="00C032D3">
      <w:pPr>
        <w:jc w:val="both"/>
        <w:rPr>
          <w:sz w:val="28"/>
          <w:szCs w:val="28"/>
        </w:rPr>
      </w:pPr>
      <w:r w:rsidRPr="00C032D3">
        <w:rPr>
          <w:sz w:val="28"/>
          <w:szCs w:val="28"/>
        </w:rPr>
        <w:t>Doméstico</w:t>
      </w:r>
    </w:p>
    <w:p w14:paraId="127B420D" w14:textId="1DA19A5B" w:rsidR="00594A39" w:rsidRDefault="00594A39" w:rsidP="00C032D3">
      <w:pPr>
        <w:jc w:val="both"/>
        <w:rPr>
          <w:sz w:val="28"/>
          <w:szCs w:val="28"/>
        </w:rPr>
      </w:pPr>
    </w:p>
    <w:p w14:paraId="5BAB6049" w14:textId="1FB608F2" w:rsidR="00594A39" w:rsidRDefault="00594A39" w:rsidP="00C032D3">
      <w:pPr>
        <w:jc w:val="both"/>
        <w:rPr>
          <w:sz w:val="28"/>
          <w:szCs w:val="28"/>
        </w:rPr>
      </w:pPr>
      <w:r w:rsidRPr="00594A39">
        <w:rPr>
          <w:noProof/>
          <w:sz w:val="28"/>
          <w:szCs w:val="28"/>
        </w:rPr>
        <w:drawing>
          <wp:inline distT="0" distB="0" distL="0" distR="0" wp14:anchorId="0F6BFB6E" wp14:editId="1C2056FE">
            <wp:extent cx="5112385" cy="25628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2385" cy="2562860"/>
                    </a:xfrm>
                    <a:prstGeom prst="rect">
                      <a:avLst/>
                    </a:prstGeom>
                    <a:noFill/>
                    <a:ln>
                      <a:noFill/>
                    </a:ln>
                  </pic:spPr>
                </pic:pic>
              </a:graphicData>
            </a:graphic>
          </wp:inline>
        </w:drawing>
      </w:r>
    </w:p>
    <w:p w14:paraId="6AE36246" w14:textId="2581E802" w:rsidR="00594A39" w:rsidRDefault="00594A39" w:rsidP="00C032D3">
      <w:pPr>
        <w:jc w:val="both"/>
        <w:rPr>
          <w:sz w:val="28"/>
          <w:szCs w:val="28"/>
        </w:rPr>
      </w:pPr>
      <w:r w:rsidRPr="00594A39">
        <w:rPr>
          <w:noProof/>
          <w:sz w:val="28"/>
          <w:szCs w:val="28"/>
        </w:rPr>
        <w:drawing>
          <wp:inline distT="0" distB="0" distL="0" distR="0" wp14:anchorId="629522F6" wp14:editId="3650092F">
            <wp:extent cx="5112385" cy="16554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385" cy="1655445"/>
                    </a:xfrm>
                    <a:prstGeom prst="rect">
                      <a:avLst/>
                    </a:prstGeom>
                    <a:noFill/>
                    <a:ln>
                      <a:noFill/>
                    </a:ln>
                  </pic:spPr>
                </pic:pic>
              </a:graphicData>
            </a:graphic>
          </wp:inline>
        </w:drawing>
      </w:r>
    </w:p>
    <w:p w14:paraId="03AE6222" w14:textId="4B615F53" w:rsidR="00594A39" w:rsidRDefault="00594A39" w:rsidP="00C032D3">
      <w:pPr>
        <w:jc w:val="both"/>
        <w:rPr>
          <w:sz w:val="28"/>
          <w:szCs w:val="28"/>
        </w:rPr>
      </w:pPr>
      <w:r w:rsidRPr="00594A39">
        <w:rPr>
          <w:noProof/>
          <w:sz w:val="28"/>
          <w:szCs w:val="28"/>
        </w:rPr>
        <w:drawing>
          <wp:inline distT="0" distB="0" distL="0" distR="0" wp14:anchorId="3EFA46F5" wp14:editId="49AD64F4">
            <wp:extent cx="3927475" cy="7410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475" cy="741045"/>
                    </a:xfrm>
                    <a:prstGeom prst="rect">
                      <a:avLst/>
                    </a:prstGeom>
                    <a:noFill/>
                    <a:ln>
                      <a:noFill/>
                    </a:ln>
                  </pic:spPr>
                </pic:pic>
              </a:graphicData>
            </a:graphic>
          </wp:inline>
        </w:drawing>
      </w:r>
    </w:p>
    <w:p w14:paraId="7192DD06" w14:textId="08E8FD2E" w:rsidR="00594A39" w:rsidRDefault="007A29BE" w:rsidP="00C032D3">
      <w:pPr>
        <w:jc w:val="both"/>
        <w:rPr>
          <w:sz w:val="28"/>
          <w:szCs w:val="28"/>
        </w:rPr>
      </w:pPr>
      <w:r w:rsidRPr="007A29BE">
        <w:rPr>
          <w:noProof/>
          <w:sz w:val="28"/>
          <w:szCs w:val="28"/>
        </w:rPr>
        <w:drawing>
          <wp:inline distT="0" distB="0" distL="0" distR="0" wp14:anchorId="2AA79CA6" wp14:editId="244868CB">
            <wp:extent cx="3927475" cy="5543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475" cy="554355"/>
                    </a:xfrm>
                    <a:prstGeom prst="rect">
                      <a:avLst/>
                    </a:prstGeom>
                    <a:noFill/>
                    <a:ln>
                      <a:noFill/>
                    </a:ln>
                  </pic:spPr>
                </pic:pic>
              </a:graphicData>
            </a:graphic>
          </wp:inline>
        </w:drawing>
      </w:r>
    </w:p>
    <w:p w14:paraId="035C78A0" w14:textId="44017E47" w:rsidR="00594A39" w:rsidRDefault="007A29BE" w:rsidP="00C032D3">
      <w:pPr>
        <w:jc w:val="both"/>
        <w:rPr>
          <w:sz w:val="28"/>
          <w:szCs w:val="28"/>
        </w:rPr>
      </w:pPr>
      <w:r w:rsidRPr="007A29BE">
        <w:rPr>
          <w:noProof/>
          <w:sz w:val="28"/>
          <w:szCs w:val="28"/>
        </w:rPr>
        <w:drawing>
          <wp:inline distT="0" distB="0" distL="0" distR="0" wp14:anchorId="6DC2C225" wp14:editId="6CF66805">
            <wp:extent cx="3927475" cy="74104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7475" cy="741045"/>
                    </a:xfrm>
                    <a:prstGeom prst="rect">
                      <a:avLst/>
                    </a:prstGeom>
                    <a:noFill/>
                    <a:ln>
                      <a:noFill/>
                    </a:ln>
                  </pic:spPr>
                </pic:pic>
              </a:graphicData>
            </a:graphic>
          </wp:inline>
        </w:drawing>
      </w:r>
    </w:p>
    <w:p w14:paraId="2B4374B5" w14:textId="25E0BADB" w:rsidR="00594A39" w:rsidRDefault="00594A39" w:rsidP="00C032D3">
      <w:pPr>
        <w:jc w:val="both"/>
        <w:rPr>
          <w:sz w:val="28"/>
          <w:szCs w:val="28"/>
        </w:rPr>
      </w:pPr>
      <w:r>
        <w:rPr>
          <w:noProof/>
          <w:sz w:val="28"/>
          <w:szCs w:val="28"/>
        </w:rPr>
        <w:lastRenderedPageBreak/>
        <w:drawing>
          <wp:inline distT="0" distB="0" distL="0" distR="0" wp14:anchorId="77FBC131" wp14:editId="2BC5882B">
            <wp:extent cx="5400040" cy="3150235"/>
            <wp:effectExtent l="0" t="0" r="10160" b="1206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6D292B" w14:textId="1D67EC2B" w:rsidR="00594A39" w:rsidRDefault="00594A39" w:rsidP="00C032D3">
      <w:pPr>
        <w:jc w:val="both"/>
        <w:rPr>
          <w:sz w:val="28"/>
          <w:szCs w:val="28"/>
        </w:rPr>
      </w:pPr>
      <w:r>
        <w:rPr>
          <w:sz w:val="28"/>
          <w:szCs w:val="28"/>
        </w:rPr>
        <w:t>Análisis: -------------------------------------------------------------</w:t>
      </w:r>
    </w:p>
    <w:p w14:paraId="1CC76192" w14:textId="4B4C3526" w:rsidR="00594A39" w:rsidRDefault="00594A39" w:rsidP="00C032D3">
      <w:pPr>
        <w:jc w:val="both"/>
        <w:rPr>
          <w:sz w:val="28"/>
          <w:szCs w:val="28"/>
        </w:rPr>
      </w:pPr>
      <w:r>
        <w:rPr>
          <w:sz w:val="28"/>
          <w:szCs w:val="28"/>
        </w:rPr>
        <w:t xml:space="preserve">Interpretación: </w:t>
      </w:r>
      <w:r>
        <w:rPr>
          <w:sz w:val="28"/>
          <w:szCs w:val="28"/>
        </w:rPr>
        <w:t>-------------------------------------------------------------</w:t>
      </w:r>
    </w:p>
    <w:p w14:paraId="43FBC4A8" w14:textId="77777777" w:rsidR="00691244" w:rsidRPr="00691244" w:rsidRDefault="00691244" w:rsidP="00691244">
      <w:pPr>
        <w:jc w:val="both"/>
        <w:rPr>
          <w:b/>
          <w:bCs/>
          <w:sz w:val="28"/>
          <w:szCs w:val="28"/>
        </w:rPr>
      </w:pPr>
      <w:r w:rsidRPr="00691244">
        <w:rPr>
          <w:b/>
          <w:bCs/>
          <w:sz w:val="28"/>
          <w:szCs w:val="28"/>
        </w:rPr>
        <w:t>Descripción:</w:t>
      </w:r>
    </w:p>
    <w:p w14:paraId="16B3EC2C" w14:textId="232F25EF" w:rsidR="00691244" w:rsidRDefault="00691244" w:rsidP="00691244">
      <w:pPr>
        <w:pStyle w:val="Sinespaciado"/>
        <w:rPr>
          <w:sz w:val="24"/>
          <w:szCs w:val="24"/>
        </w:rPr>
      </w:pPr>
      <w:r w:rsidRPr="00691244">
        <w:rPr>
          <w:sz w:val="24"/>
          <w:szCs w:val="24"/>
        </w:rPr>
        <w:t>El gráfico de pastel (o gráfico de torta) muestra la distribución porcentual de cuatro categorías de productos de venta:</w:t>
      </w:r>
    </w:p>
    <w:p w14:paraId="62CEFC1E" w14:textId="77777777" w:rsidR="00691244" w:rsidRPr="00691244" w:rsidRDefault="00691244" w:rsidP="00691244">
      <w:pPr>
        <w:pStyle w:val="Sinespaciado"/>
        <w:rPr>
          <w:sz w:val="24"/>
          <w:szCs w:val="24"/>
        </w:rPr>
      </w:pPr>
    </w:p>
    <w:p w14:paraId="0F7819E5" w14:textId="5B39F283" w:rsidR="00691244" w:rsidRPr="00691244" w:rsidRDefault="00691244" w:rsidP="00691244">
      <w:pPr>
        <w:pStyle w:val="Sinespaciado"/>
        <w:numPr>
          <w:ilvl w:val="0"/>
          <w:numId w:val="6"/>
        </w:numPr>
        <w:rPr>
          <w:sz w:val="24"/>
          <w:szCs w:val="24"/>
        </w:rPr>
      </w:pPr>
      <w:r w:rsidRPr="00691244">
        <w:rPr>
          <w:sz w:val="24"/>
          <w:szCs w:val="24"/>
        </w:rPr>
        <w:t>Alimentos y bebidas</w:t>
      </w:r>
    </w:p>
    <w:p w14:paraId="0D862BBA" w14:textId="1B577EA0" w:rsidR="00691244" w:rsidRPr="00691244" w:rsidRDefault="00691244" w:rsidP="00691244">
      <w:pPr>
        <w:pStyle w:val="Sinespaciado"/>
        <w:numPr>
          <w:ilvl w:val="0"/>
          <w:numId w:val="6"/>
        </w:numPr>
        <w:rPr>
          <w:sz w:val="24"/>
          <w:szCs w:val="24"/>
        </w:rPr>
      </w:pPr>
      <w:r w:rsidRPr="00691244">
        <w:rPr>
          <w:sz w:val="24"/>
          <w:szCs w:val="24"/>
        </w:rPr>
        <w:t>Cuidado personal y cosméticos</w:t>
      </w:r>
    </w:p>
    <w:p w14:paraId="6F48479F" w14:textId="6DBC11CF" w:rsidR="00691244" w:rsidRPr="00691244" w:rsidRDefault="00691244" w:rsidP="00691244">
      <w:pPr>
        <w:pStyle w:val="Sinespaciado"/>
        <w:numPr>
          <w:ilvl w:val="0"/>
          <w:numId w:val="6"/>
        </w:numPr>
        <w:rPr>
          <w:sz w:val="24"/>
          <w:szCs w:val="24"/>
        </w:rPr>
      </w:pPr>
      <w:r w:rsidRPr="00691244">
        <w:rPr>
          <w:sz w:val="24"/>
          <w:szCs w:val="24"/>
        </w:rPr>
        <w:t>Ropa y accesorios</w:t>
      </w:r>
    </w:p>
    <w:p w14:paraId="42F0A2C9" w14:textId="3A0EFC92" w:rsidR="00691244" w:rsidRPr="00691244" w:rsidRDefault="00691244" w:rsidP="00691244">
      <w:pPr>
        <w:pStyle w:val="Sinespaciado"/>
        <w:numPr>
          <w:ilvl w:val="0"/>
          <w:numId w:val="6"/>
        </w:numPr>
        <w:rPr>
          <w:sz w:val="24"/>
          <w:szCs w:val="24"/>
        </w:rPr>
      </w:pPr>
      <w:r w:rsidRPr="00691244">
        <w:rPr>
          <w:sz w:val="24"/>
          <w:szCs w:val="24"/>
        </w:rPr>
        <w:t>Materiales y productos de hogar</w:t>
      </w:r>
    </w:p>
    <w:p w14:paraId="24A1D4F5" w14:textId="77777777" w:rsidR="00691244" w:rsidRPr="00691244" w:rsidRDefault="00691244" w:rsidP="00691244">
      <w:pPr>
        <w:pStyle w:val="Sinespaciado"/>
        <w:rPr>
          <w:sz w:val="24"/>
          <w:szCs w:val="24"/>
        </w:rPr>
      </w:pPr>
    </w:p>
    <w:p w14:paraId="6F738FF8" w14:textId="77777777" w:rsidR="00691244" w:rsidRPr="00691244" w:rsidRDefault="00691244" w:rsidP="00691244">
      <w:pPr>
        <w:pStyle w:val="Sinespaciado"/>
        <w:rPr>
          <w:sz w:val="24"/>
          <w:szCs w:val="24"/>
        </w:rPr>
      </w:pPr>
      <w:r w:rsidRPr="00691244">
        <w:rPr>
          <w:sz w:val="24"/>
          <w:szCs w:val="24"/>
        </w:rPr>
        <w:t>Cada sector del gráfico representa el porcentaje correspondiente a cada categoría. Tomar en cuenta que dentro de cada categoría hay un tipo específico de producto cuya frecuencia se ha sumado al total.</w:t>
      </w:r>
    </w:p>
    <w:p w14:paraId="3F671C8C" w14:textId="77777777" w:rsidR="00691244" w:rsidRPr="00691244" w:rsidRDefault="00691244" w:rsidP="00691244">
      <w:pPr>
        <w:jc w:val="both"/>
        <w:rPr>
          <w:sz w:val="28"/>
          <w:szCs w:val="28"/>
        </w:rPr>
      </w:pPr>
    </w:p>
    <w:p w14:paraId="71BEFFA6" w14:textId="77777777" w:rsidR="00691244" w:rsidRPr="00691244" w:rsidRDefault="00691244" w:rsidP="00691244">
      <w:pPr>
        <w:jc w:val="both"/>
        <w:rPr>
          <w:b/>
          <w:bCs/>
          <w:sz w:val="28"/>
          <w:szCs w:val="28"/>
        </w:rPr>
      </w:pPr>
      <w:r w:rsidRPr="00691244">
        <w:rPr>
          <w:b/>
          <w:bCs/>
          <w:sz w:val="28"/>
          <w:szCs w:val="28"/>
        </w:rPr>
        <w:t>Interpretación:</w:t>
      </w:r>
    </w:p>
    <w:p w14:paraId="47626682" w14:textId="77777777" w:rsidR="00691244" w:rsidRPr="007A116D" w:rsidRDefault="00691244" w:rsidP="007A116D">
      <w:pPr>
        <w:pStyle w:val="Sinespaciado"/>
        <w:rPr>
          <w:sz w:val="24"/>
          <w:szCs w:val="24"/>
        </w:rPr>
      </w:pPr>
      <w:r w:rsidRPr="007A116D">
        <w:rPr>
          <w:sz w:val="24"/>
          <w:szCs w:val="24"/>
        </w:rPr>
        <w:t xml:space="preserve">Se observa lo siguiente: </w:t>
      </w:r>
    </w:p>
    <w:p w14:paraId="250375F3" w14:textId="77777777" w:rsidR="00691244" w:rsidRPr="007A116D" w:rsidRDefault="00691244" w:rsidP="007A116D">
      <w:pPr>
        <w:pStyle w:val="Sinespaciado"/>
        <w:rPr>
          <w:sz w:val="24"/>
          <w:szCs w:val="24"/>
        </w:rPr>
      </w:pPr>
      <w:r w:rsidRPr="007A116D">
        <w:rPr>
          <w:sz w:val="24"/>
          <w:szCs w:val="24"/>
        </w:rPr>
        <w:t>Alimentos y bebidas: Representa el 60% del total. Esta es la categoría más grande y, por lo tanto, la más frecuente.</w:t>
      </w:r>
    </w:p>
    <w:p w14:paraId="10D0B443" w14:textId="77777777" w:rsidR="00691244" w:rsidRPr="007A116D" w:rsidRDefault="00691244" w:rsidP="007A116D">
      <w:pPr>
        <w:pStyle w:val="Sinespaciado"/>
        <w:rPr>
          <w:sz w:val="24"/>
          <w:szCs w:val="24"/>
        </w:rPr>
      </w:pPr>
      <w:r w:rsidRPr="007A116D">
        <w:rPr>
          <w:sz w:val="24"/>
          <w:szCs w:val="24"/>
        </w:rPr>
        <w:t>Cuidado personal y cosméticos: Representa el 15% del total.</w:t>
      </w:r>
    </w:p>
    <w:p w14:paraId="31A01EAB" w14:textId="77777777" w:rsidR="00691244" w:rsidRPr="007A116D" w:rsidRDefault="00691244" w:rsidP="007A116D">
      <w:pPr>
        <w:pStyle w:val="Sinespaciado"/>
        <w:rPr>
          <w:sz w:val="24"/>
          <w:szCs w:val="24"/>
        </w:rPr>
      </w:pPr>
      <w:r w:rsidRPr="007A116D">
        <w:rPr>
          <w:sz w:val="24"/>
          <w:szCs w:val="24"/>
        </w:rPr>
        <w:t>Ropa y accesorios: Representa el 8% del total.</w:t>
      </w:r>
    </w:p>
    <w:p w14:paraId="66C56607" w14:textId="77777777" w:rsidR="00691244" w:rsidRPr="007A116D" w:rsidRDefault="00691244" w:rsidP="007A116D">
      <w:pPr>
        <w:pStyle w:val="Sinespaciado"/>
        <w:rPr>
          <w:sz w:val="24"/>
          <w:szCs w:val="24"/>
        </w:rPr>
      </w:pPr>
      <w:r w:rsidRPr="007A116D">
        <w:rPr>
          <w:sz w:val="24"/>
          <w:szCs w:val="24"/>
        </w:rPr>
        <w:t>Materiales y productos de hogar: Representa el 17% del total.</w:t>
      </w:r>
    </w:p>
    <w:p w14:paraId="3DE80790" w14:textId="77777777" w:rsidR="00691244" w:rsidRPr="007A116D" w:rsidRDefault="00691244" w:rsidP="007A116D">
      <w:pPr>
        <w:pStyle w:val="Sinespaciado"/>
        <w:rPr>
          <w:sz w:val="24"/>
          <w:szCs w:val="24"/>
        </w:rPr>
      </w:pPr>
    </w:p>
    <w:p w14:paraId="459FCB98" w14:textId="0977042B" w:rsidR="00691244" w:rsidRPr="007A116D" w:rsidRDefault="00691244" w:rsidP="007A116D">
      <w:pPr>
        <w:pStyle w:val="Sinespaciado"/>
        <w:rPr>
          <w:sz w:val="24"/>
          <w:szCs w:val="24"/>
        </w:rPr>
      </w:pPr>
      <w:r w:rsidRPr="007A116D">
        <w:rPr>
          <w:sz w:val="24"/>
          <w:szCs w:val="24"/>
        </w:rPr>
        <w:t xml:space="preserve">De acuerdo con el gráfico, la categoría más frecuente de productos de venta es Alimentos y bebidas, que constituye el 60% del total. Esta categoría domina </w:t>
      </w:r>
      <w:r w:rsidRPr="007A116D">
        <w:rPr>
          <w:sz w:val="24"/>
          <w:szCs w:val="24"/>
        </w:rPr>
        <w:lastRenderedPageBreak/>
        <w:t>claramente en comparación con las otras, que representan porcentajes significativamente menores.</w:t>
      </w:r>
    </w:p>
    <w:p w14:paraId="0C173024" w14:textId="1B26A61D" w:rsidR="007A29BE" w:rsidRDefault="007A29BE" w:rsidP="00C032D3">
      <w:pPr>
        <w:jc w:val="both"/>
        <w:rPr>
          <w:sz w:val="28"/>
          <w:szCs w:val="28"/>
        </w:rPr>
      </w:pPr>
      <w:r>
        <w:rPr>
          <w:noProof/>
          <w:sz w:val="28"/>
          <w:szCs w:val="28"/>
        </w:rPr>
        <w:drawing>
          <wp:inline distT="0" distB="0" distL="0" distR="0" wp14:anchorId="34BF6434" wp14:editId="49120C9E">
            <wp:extent cx="5400040" cy="3150235"/>
            <wp:effectExtent l="0" t="0" r="10160" b="120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530AC2" w14:textId="17406415" w:rsidR="007A29BE" w:rsidRDefault="007A29BE" w:rsidP="00C032D3">
      <w:pPr>
        <w:jc w:val="both"/>
        <w:rPr>
          <w:sz w:val="28"/>
          <w:szCs w:val="28"/>
        </w:rPr>
      </w:pPr>
    </w:p>
    <w:p w14:paraId="1C4C2D1B" w14:textId="316B367B" w:rsidR="008777F7" w:rsidRDefault="008777F7" w:rsidP="00C032D3">
      <w:pPr>
        <w:jc w:val="both"/>
        <w:rPr>
          <w:sz w:val="28"/>
          <w:szCs w:val="28"/>
        </w:rPr>
      </w:pPr>
    </w:p>
    <w:p w14:paraId="7915E612" w14:textId="58283520" w:rsidR="008777F7" w:rsidRDefault="008777F7" w:rsidP="00C032D3">
      <w:pPr>
        <w:jc w:val="both"/>
        <w:rPr>
          <w:sz w:val="28"/>
          <w:szCs w:val="28"/>
        </w:rPr>
      </w:pPr>
    </w:p>
    <w:p w14:paraId="198AFEBE" w14:textId="045B8B01" w:rsidR="008777F7" w:rsidRDefault="008777F7" w:rsidP="00C032D3">
      <w:pPr>
        <w:jc w:val="both"/>
        <w:rPr>
          <w:sz w:val="28"/>
          <w:szCs w:val="28"/>
        </w:rPr>
      </w:pPr>
    </w:p>
    <w:p w14:paraId="46F05FE2" w14:textId="0E9B35A0" w:rsidR="008777F7" w:rsidRDefault="008777F7" w:rsidP="00C032D3">
      <w:pPr>
        <w:jc w:val="both"/>
        <w:rPr>
          <w:sz w:val="28"/>
          <w:szCs w:val="28"/>
        </w:rPr>
      </w:pPr>
    </w:p>
    <w:p w14:paraId="7364EA67" w14:textId="018162DD" w:rsidR="008777F7" w:rsidRDefault="008777F7" w:rsidP="00C032D3">
      <w:pPr>
        <w:jc w:val="both"/>
        <w:rPr>
          <w:sz w:val="28"/>
          <w:szCs w:val="28"/>
        </w:rPr>
      </w:pPr>
    </w:p>
    <w:p w14:paraId="614A0EDE" w14:textId="77777777" w:rsidR="008777F7" w:rsidRDefault="008777F7" w:rsidP="008777F7">
      <w:pPr>
        <w:pStyle w:val="NormalWeb"/>
        <w:numPr>
          <w:ilvl w:val="0"/>
          <w:numId w:val="3"/>
        </w:numPr>
        <w:spacing w:before="0" w:beforeAutospacing="0" w:after="0" w:afterAutospacing="0"/>
        <w:textAlignment w:val="baseline"/>
        <w:rPr>
          <w:rFonts w:ascii="Arial" w:hAnsi="Arial" w:cs="Arial"/>
          <w:b/>
          <w:bCs/>
          <w:color w:val="000000"/>
        </w:rPr>
      </w:pPr>
      <w:r>
        <w:rPr>
          <w:rFonts w:ascii="Arial" w:hAnsi="Arial" w:cs="Arial"/>
          <w:b/>
          <w:bCs/>
          <w:color w:val="000000"/>
        </w:rPr>
        <w:t>¿Cómo se distribuye la variable Importe coste total?</w:t>
      </w:r>
    </w:p>
    <w:p w14:paraId="712950CF" w14:textId="77777777" w:rsidR="008777F7" w:rsidRDefault="008777F7" w:rsidP="008777F7">
      <w:pPr>
        <w:pStyle w:val="NormalWeb"/>
        <w:spacing w:before="0" w:beforeAutospacing="0" w:after="0" w:afterAutospacing="0"/>
      </w:pPr>
      <w:r>
        <w:rPr>
          <w:rFonts w:ascii="Arial" w:hAnsi="Arial" w:cs="Arial"/>
          <w:color w:val="000000"/>
        </w:rPr>
        <w:t>Para responder a esta pregunta procedemos a ordenar los datos de menor a mayor, calcular los cuartiles: el primer cuartil (Q1) marca el 25% de los datos, la mediana (Q2) marca el 50%, y el tercer cuartil (Q3) marca el 75%.</w:t>
      </w:r>
    </w:p>
    <w:p w14:paraId="590E0032" w14:textId="77777777" w:rsidR="008777F7" w:rsidRDefault="008777F7" w:rsidP="008777F7">
      <w:pPr>
        <w:pStyle w:val="NormalWeb"/>
        <w:spacing w:before="0" w:beforeAutospacing="0" w:after="0" w:afterAutospacing="0"/>
      </w:pPr>
      <w:r>
        <w:rPr>
          <w:rFonts w:ascii="Arial" w:hAnsi="Arial" w:cs="Arial"/>
          <w:color w:val="000000"/>
        </w:rPr>
        <w:t xml:space="preserve">Determinar el rango </w:t>
      </w:r>
      <w:proofErr w:type="spellStart"/>
      <w:r>
        <w:rPr>
          <w:rFonts w:ascii="Arial" w:hAnsi="Arial" w:cs="Arial"/>
          <w:color w:val="000000"/>
        </w:rPr>
        <w:t>intercuartil</w:t>
      </w:r>
      <w:proofErr w:type="spellEnd"/>
      <w:r>
        <w:rPr>
          <w:rFonts w:ascii="Arial" w:hAnsi="Arial" w:cs="Arial"/>
          <w:color w:val="000000"/>
        </w:rPr>
        <w:t>, que es la diferencia entre Q1 y Q3, calcular los límites de los bigotes, Identificar los valores atípicos, que son los datos fuera de estos límites.</w:t>
      </w:r>
    </w:p>
    <w:p w14:paraId="092A66B1" w14:textId="77777777" w:rsidR="008777F7" w:rsidRDefault="008777F7" w:rsidP="008777F7">
      <w:pPr>
        <w:pStyle w:val="NormalWeb"/>
        <w:spacing w:before="0" w:beforeAutospacing="0" w:after="0" w:afterAutospacing="0"/>
      </w:pPr>
      <w:r>
        <w:rPr>
          <w:rFonts w:ascii="Arial" w:hAnsi="Arial" w:cs="Arial"/>
          <w:b/>
          <w:bCs/>
          <w:color w:val="000000"/>
        </w:rPr>
        <w:t>Dibujar el diagrama:</w:t>
      </w:r>
      <w:r>
        <w:rPr>
          <w:rFonts w:ascii="Arial" w:hAnsi="Arial" w:cs="Arial"/>
          <w:color w:val="000000"/>
        </w:rPr>
        <w:t xml:space="preserve"> la caja se extiende desde Q1 hasta Q3, con una línea en la mediana (Q2), los bigotes llegan hasta los límites calculados, y los valores atípicos se marcan como puntos separados.</w:t>
      </w:r>
    </w:p>
    <w:p w14:paraId="5BBA6C0F" w14:textId="58B37D70" w:rsidR="008777F7" w:rsidRDefault="007A116D" w:rsidP="00C032D3">
      <w:pPr>
        <w:jc w:val="both"/>
        <w:rPr>
          <w:sz w:val="28"/>
          <w:szCs w:val="28"/>
        </w:rPr>
      </w:pPr>
      <w:r w:rsidRPr="007A116D">
        <w:rPr>
          <w:noProof/>
          <w:sz w:val="28"/>
          <w:szCs w:val="28"/>
        </w:rPr>
        <w:lastRenderedPageBreak/>
        <w:drawing>
          <wp:inline distT="0" distB="0" distL="0" distR="0" wp14:anchorId="411E1895" wp14:editId="3CE48619">
            <wp:extent cx="5400040" cy="41414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41470"/>
                    </a:xfrm>
                    <a:prstGeom prst="rect">
                      <a:avLst/>
                    </a:prstGeom>
                    <a:noFill/>
                    <a:ln>
                      <a:noFill/>
                    </a:ln>
                  </pic:spPr>
                </pic:pic>
              </a:graphicData>
            </a:graphic>
          </wp:inline>
        </w:drawing>
      </w:r>
    </w:p>
    <w:p w14:paraId="71180F69" w14:textId="77777777" w:rsidR="007A116D" w:rsidRPr="007A116D" w:rsidRDefault="007A116D" w:rsidP="007A116D">
      <w:pPr>
        <w:spacing w:before="240" w:after="240" w:line="240" w:lineRule="auto"/>
        <w:jc w:val="both"/>
        <w:rPr>
          <w:rFonts w:ascii="Times New Roman" w:eastAsia="Times New Roman" w:hAnsi="Times New Roman" w:cs="Times New Roman"/>
          <w:lang w:eastAsia="es-EC"/>
        </w:rPr>
      </w:pPr>
      <w:r w:rsidRPr="007A116D">
        <w:rPr>
          <w:rFonts w:ascii="Arial" w:eastAsia="Times New Roman" w:hAnsi="Arial" w:cs="Arial"/>
          <w:b/>
          <w:bCs/>
          <w:color w:val="000000"/>
          <w:sz w:val="24"/>
          <w:szCs w:val="24"/>
          <w:lang w:eastAsia="es-EC"/>
        </w:rPr>
        <w:t>Descripción</w:t>
      </w:r>
    </w:p>
    <w:p w14:paraId="43141413" w14:textId="7581F78C" w:rsidR="007A116D" w:rsidRPr="007A116D" w:rsidRDefault="007A116D" w:rsidP="007A116D">
      <w:pPr>
        <w:spacing w:before="240" w:after="240" w:line="240" w:lineRule="auto"/>
        <w:jc w:val="both"/>
        <w:rPr>
          <w:rFonts w:ascii="Times New Roman" w:eastAsia="Times New Roman" w:hAnsi="Times New Roman" w:cs="Times New Roman"/>
          <w:lang w:eastAsia="es-EC"/>
        </w:rPr>
      </w:pPr>
      <w:r w:rsidRPr="007A116D">
        <w:rPr>
          <w:rFonts w:ascii="Arial" w:eastAsia="Times New Roman" w:hAnsi="Arial" w:cs="Arial"/>
          <w:color w:val="000000"/>
          <w:sz w:val="24"/>
          <w:szCs w:val="24"/>
          <w:lang w:eastAsia="es-EC"/>
        </w:rPr>
        <w:t>El siguiente diagrama de cajas y bigotes muestra la distribución de la variable "</w:t>
      </w:r>
      <w:r w:rsidRPr="00B36AB9">
        <w:rPr>
          <w:rFonts w:ascii="Arial" w:eastAsia="Times New Roman" w:hAnsi="Arial" w:cs="Arial"/>
          <w:color w:val="000000"/>
          <w:sz w:val="24"/>
          <w:szCs w:val="24"/>
          <w:lang w:eastAsia="es-EC"/>
        </w:rPr>
        <w:t>importe coste total</w:t>
      </w:r>
      <w:r w:rsidRPr="007A116D">
        <w:rPr>
          <w:rFonts w:ascii="Arial" w:eastAsia="Times New Roman" w:hAnsi="Arial" w:cs="Arial"/>
          <w:color w:val="000000"/>
          <w:sz w:val="24"/>
          <w:szCs w:val="24"/>
          <w:lang w:eastAsia="es-EC"/>
        </w:rPr>
        <w:t>" en un registro de ventas.</w:t>
      </w:r>
    </w:p>
    <w:p w14:paraId="7452EA27" w14:textId="77777777" w:rsidR="007A116D" w:rsidRPr="007A116D" w:rsidRDefault="007A116D" w:rsidP="007A116D">
      <w:pPr>
        <w:spacing w:before="240" w:after="240" w:line="240" w:lineRule="auto"/>
        <w:jc w:val="both"/>
        <w:rPr>
          <w:rFonts w:ascii="Times New Roman" w:eastAsia="Times New Roman" w:hAnsi="Times New Roman" w:cs="Times New Roman"/>
          <w:sz w:val="24"/>
          <w:szCs w:val="24"/>
          <w:lang w:eastAsia="es-EC"/>
        </w:rPr>
      </w:pPr>
      <w:r w:rsidRPr="007A116D">
        <w:rPr>
          <w:rFonts w:ascii="Arial" w:eastAsia="Times New Roman" w:hAnsi="Arial" w:cs="Arial"/>
          <w:color w:val="000000"/>
          <w:sz w:val="28"/>
          <w:szCs w:val="28"/>
          <w:lang w:eastAsia="es-EC"/>
        </w:rPr>
        <w:t> </w:t>
      </w:r>
    </w:p>
    <w:p w14:paraId="2BEDBE6C" w14:textId="77777777" w:rsidR="007A116D" w:rsidRPr="007A116D" w:rsidRDefault="007A116D" w:rsidP="007A116D">
      <w:pPr>
        <w:spacing w:before="240" w:after="240" w:line="240" w:lineRule="auto"/>
        <w:jc w:val="both"/>
        <w:rPr>
          <w:rFonts w:ascii="Times New Roman" w:eastAsia="Times New Roman" w:hAnsi="Times New Roman" w:cs="Times New Roman"/>
          <w:sz w:val="24"/>
          <w:szCs w:val="24"/>
          <w:lang w:eastAsia="es-EC"/>
        </w:rPr>
      </w:pPr>
      <w:r w:rsidRPr="007A116D">
        <w:rPr>
          <w:rFonts w:ascii="Arial" w:eastAsia="Times New Roman" w:hAnsi="Arial" w:cs="Arial"/>
          <w:b/>
          <w:bCs/>
          <w:color w:val="000000"/>
          <w:sz w:val="24"/>
          <w:szCs w:val="24"/>
          <w:lang w:eastAsia="es-EC"/>
        </w:rPr>
        <w:t>Interpretación</w:t>
      </w:r>
    </w:p>
    <w:p w14:paraId="01DC2D84" w14:textId="77777777" w:rsidR="00794A15" w:rsidRPr="00794A15" w:rsidRDefault="00794A15" w:rsidP="00794A15">
      <w:pPr>
        <w:spacing w:before="240" w:after="240" w:line="240" w:lineRule="auto"/>
        <w:jc w:val="both"/>
        <w:rPr>
          <w:rFonts w:ascii="Arial" w:eastAsia="Times New Roman" w:hAnsi="Arial" w:cs="Arial"/>
          <w:color w:val="000000"/>
          <w:sz w:val="24"/>
          <w:szCs w:val="24"/>
          <w:lang w:eastAsia="es-EC"/>
        </w:rPr>
      </w:pPr>
      <w:proofErr w:type="spellStart"/>
      <w:r w:rsidRPr="00794A15">
        <w:rPr>
          <w:rFonts w:ascii="Arial" w:eastAsia="Times New Roman" w:hAnsi="Arial" w:cs="Arial"/>
          <w:color w:val="000000"/>
          <w:sz w:val="24"/>
          <w:szCs w:val="24"/>
          <w:lang w:eastAsia="es-EC"/>
        </w:rPr>
        <w:t>La</w:t>
      </w:r>
      <w:proofErr w:type="spellEnd"/>
      <w:r w:rsidRPr="00794A15">
        <w:rPr>
          <w:rFonts w:ascii="Arial" w:eastAsia="Times New Roman" w:hAnsi="Arial" w:cs="Arial"/>
          <w:color w:val="000000"/>
          <w:sz w:val="24"/>
          <w:szCs w:val="24"/>
          <w:lang w:eastAsia="es-EC"/>
        </w:rPr>
        <w:t xml:space="preserve"> mediana, representada por la banda dentro de la caja azul, es de aproximadamente €459,283.44. Esto indica que la mitad de los datos están por encima de este valor y la otra mitad por debajo.</w:t>
      </w:r>
    </w:p>
    <w:p w14:paraId="76CAE49C" w14:textId="77777777" w:rsidR="00794A15" w:rsidRPr="00794A15" w:rsidRDefault="00794A15" w:rsidP="00794A15">
      <w:pPr>
        <w:spacing w:before="240" w:after="240" w:line="240" w:lineRule="auto"/>
        <w:jc w:val="both"/>
        <w:rPr>
          <w:rFonts w:ascii="Arial" w:eastAsia="Times New Roman" w:hAnsi="Arial" w:cs="Arial"/>
          <w:color w:val="000000"/>
          <w:sz w:val="24"/>
          <w:szCs w:val="24"/>
          <w:lang w:eastAsia="es-EC"/>
        </w:rPr>
      </w:pPr>
      <w:r w:rsidRPr="00794A15">
        <w:rPr>
          <w:rFonts w:ascii="Arial" w:eastAsia="Times New Roman" w:hAnsi="Arial" w:cs="Arial"/>
          <w:color w:val="000000"/>
          <w:sz w:val="24"/>
          <w:szCs w:val="24"/>
          <w:lang w:eastAsia="es-EC"/>
        </w:rPr>
        <w:t>La media, señalada por la marca 'x', es alrededor de €907,076.52.</w:t>
      </w:r>
    </w:p>
    <w:p w14:paraId="60B135B3" w14:textId="77777777" w:rsidR="00794A15" w:rsidRPr="00794A15" w:rsidRDefault="00794A15" w:rsidP="00794A15">
      <w:pPr>
        <w:spacing w:before="240" w:after="240" w:line="240" w:lineRule="auto"/>
        <w:jc w:val="both"/>
        <w:rPr>
          <w:rFonts w:ascii="Arial" w:eastAsia="Times New Roman" w:hAnsi="Arial" w:cs="Arial"/>
          <w:color w:val="000000"/>
          <w:sz w:val="24"/>
          <w:szCs w:val="24"/>
          <w:lang w:eastAsia="es-EC"/>
        </w:rPr>
      </w:pPr>
      <w:r w:rsidRPr="00794A15">
        <w:rPr>
          <w:rFonts w:ascii="Arial" w:eastAsia="Times New Roman" w:hAnsi="Arial" w:cs="Arial"/>
          <w:color w:val="000000"/>
          <w:sz w:val="24"/>
          <w:szCs w:val="24"/>
          <w:lang w:eastAsia="es-EC"/>
        </w:rPr>
        <w:t>El primer cuartil (Q1) se sitúa en aproximadamente €169,841.47, lo que significa que el 25% de los datos están por debajo de este valor.</w:t>
      </w:r>
    </w:p>
    <w:p w14:paraId="0965FCB5" w14:textId="77777777" w:rsidR="00794A15" w:rsidRPr="00794A15" w:rsidRDefault="00794A15" w:rsidP="00794A15">
      <w:pPr>
        <w:spacing w:before="240" w:after="240" w:line="240" w:lineRule="auto"/>
        <w:jc w:val="both"/>
        <w:rPr>
          <w:rFonts w:ascii="Arial" w:eastAsia="Times New Roman" w:hAnsi="Arial" w:cs="Arial"/>
          <w:color w:val="000000"/>
          <w:sz w:val="24"/>
          <w:szCs w:val="24"/>
          <w:lang w:eastAsia="es-EC"/>
        </w:rPr>
      </w:pPr>
      <w:r w:rsidRPr="00794A15">
        <w:rPr>
          <w:rFonts w:ascii="Arial" w:eastAsia="Times New Roman" w:hAnsi="Arial" w:cs="Arial"/>
          <w:color w:val="000000"/>
          <w:sz w:val="24"/>
          <w:szCs w:val="24"/>
          <w:lang w:eastAsia="es-EC"/>
        </w:rPr>
        <w:t>El tercer cuartil (Q3) es de cerca de €1,178,942.29, indicando que el 75% de los datos están por debajo de este valor.</w:t>
      </w:r>
    </w:p>
    <w:p w14:paraId="6A666600" w14:textId="0230F748" w:rsidR="00794A15" w:rsidRDefault="00794A15" w:rsidP="00794A15">
      <w:pPr>
        <w:spacing w:before="240" w:after="240" w:line="240" w:lineRule="auto"/>
        <w:jc w:val="both"/>
        <w:rPr>
          <w:rFonts w:ascii="Arial" w:eastAsia="Times New Roman" w:hAnsi="Arial" w:cs="Arial"/>
          <w:color w:val="000000"/>
          <w:sz w:val="24"/>
          <w:szCs w:val="24"/>
          <w:lang w:eastAsia="es-EC"/>
        </w:rPr>
      </w:pPr>
      <w:r w:rsidRPr="00794A15">
        <w:rPr>
          <w:rFonts w:ascii="Arial" w:eastAsia="Times New Roman" w:hAnsi="Arial" w:cs="Arial"/>
          <w:color w:val="000000"/>
          <w:sz w:val="24"/>
          <w:szCs w:val="24"/>
          <w:lang w:eastAsia="es-EC"/>
        </w:rPr>
        <w:t xml:space="preserve">El mínimo se encuentra alrededor de €31.79, y el máximo </w:t>
      </w:r>
      <w:r>
        <w:rPr>
          <w:rFonts w:ascii="Arial" w:eastAsia="Times New Roman" w:hAnsi="Arial" w:cs="Arial"/>
          <w:color w:val="000000"/>
          <w:sz w:val="24"/>
          <w:szCs w:val="24"/>
          <w:lang w:eastAsia="es-EC"/>
        </w:rPr>
        <w:t xml:space="preserve">es </w:t>
      </w:r>
      <w:r w:rsidRPr="00794A15">
        <w:rPr>
          <w:rFonts w:ascii="Arial" w:eastAsia="Times New Roman" w:hAnsi="Arial" w:cs="Arial"/>
          <w:color w:val="000000"/>
          <w:sz w:val="24"/>
          <w:szCs w:val="24"/>
          <w:lang w:eastAsia="es-EC"/>
        </w:rPr>
        <w:t>€</w:t>
      </w:r>
      <w:r>
        <w:rPr>
          <w:rFonts w:ascii="Arial" w:eastAsia="Times New Roman" w:hAnsi="Arial" w:cs="Arial"/>
          <w:color w:val="000000"/>
          <w:sz w:val="24"/>
          <w:szCs w:val="24"/>
          <w:lang w:eastAsia="es-EC"/>
        </w:rPr>
        <w:t>26,68,371.68</w:t>
      </w:r>
    </w:p>
    <w:p w14:paraId="43E348E2" w14:textId="77777777" w:rsidR="00794A15" w:rsidRDefault="00794A15" w:rsidP="00794A15">
      <w:pPr>
        <w:spacing w:before="240" w:after="240" w:line="240" w:lineRule="auto"/>
        <w:jc w:val="both"/>
        <w:rPr>
          <w:rFonts w:ascii="Arial" w:eastAsia="Times New Roman" w:hAnsi="Arial" w:cs="Arial"/>
          <w:color w:val="000000"/>
          <w:sz w:val="24"/>
          <w:szCs w:val="24"/>
          <w:lang w:eastAsia="es-EC"/>
        </w:rPr>
      </w:pPr>
    </w:p>
    <w:p w14:paraId="1A662EBB" w14:textId="5F0786E0" w:rsidR="007A116D" w:rsidRPr="007A116D" w:rsidRDefault="007A116D" w:rsidP="00794A15">
      <w:pPr>
        <w:spacing w:before="240" w:after="240" w:line="240" w:lineRule="auto"/>
        <w:jc w:val="both"/>
        <w:rPr>
          <w:rFonts w:ascii="Times New Roman" w:eastAsia="Times New Roman" w:hAnsi="Times New Roman" w:cs="Times New Roman"/>
          <w:sz w:val="26"/>
          <w:szCs w:val="26"/>
          <w:lang w:eastAsia="es-EC"/>
        </w:rPr>
      </w:pPr>
      <w:r w:rsidRPr="007A116D">
        <w:rPr>
          <w:rFonts w:ascii="Arial" w:eastAsia="Times New Roman" w:hAnsi="Arial" w:cs="Arial"/>
          <w:color w:val="000000"/>
          <w:sz w:val="26"/>
          <w:szCs w:val="26"/>
          <w:lang w:eastAsia="es-EC"/>
        </w:rPr>
        <w:t>·</w:t>
      </w:r>
      <w:r w:rsidRPr="007A116D">
        <w:rPr>
          <w:rFonts w:ascii="Times New Roman" w:eastAsia="Times New Roman" w:hAnsi="Times New Roman" w:cs="Times New Roman"/>
          <w:color w:val="000000"/>
          <w:sz w:val="26"/>
          <w:szCs w:val="26"/>
          <w:lang w:eastAsia="es-EC"/>
        </w:rPr>
        <w:t xml:space="preserve">        </w:t>
      </w:r>
      <w:r w:rsidRPr="007A116D">
        <w:rPr>
          <w:rFonts w:ascii="Arial" w:eastAsia="Times New Roman" w:hAnsi="Arial" w:cs="Arial"/>
          <w:color w:val="000000"/>
          <w:sz w:val="26"/>
          <w:szCs w:val="26"/>
          <w:lang w:eastAsia="es-EC"/>
        </w:rPr>
        <w:t xml:space="preserve">El rango intercuartílico (IQR): La diferencia entre el tercer cuartil y el primer cuartil (Q3 - Q1) es </w:t>
      </w:r>
      <w:r w:rsidR="007456C2" w:rsidRPr="00794A15">
        <w:rPr>
          <w:rFonts w:ascii="Arial" w:eastAsia="Times New Roman" w:hAnsi="Arial" w:cs="Arial"/>
          <w:color w:val="000000"/>
          <w:sz w:val="24"/>
          <w:szCs w:val="24"/>
          <w:lang w:eastAsia="es-EC"/>
        </w:rPr>
        <w:t>1,178,942.29</w:t>
      </w:r>
      <w:r w:rsidRPr="007A116D">
        <w:rPr>
          <w:rFonts w:ascii="Arial" w:eastAsia="Times New Roman" w:hAnsi="Arial" w:cs="Arial"/>
          <w:color w:val="000000"/>
          <w:sz w:val="26"/>
          <w:szCs w:val="26"/>
          <w:lang w:eastAsia="es-EC"/>
        </w:rPr>
        <w:t xml:space="preserve"> - </w:t>
      </w:r>
      <w:r w:rsidR="007456C2" w:rsidRPr="00794A15">
        <w:rPr>
          <w:rFonts w:ascii="Arial" w:eastAsia="Times New Roman" w:hAnsi="Arial" w:cs="Arial"/>
          <w:color w:val="000000"/>
          <w:sz w:val="24"/>
          <w:szCs w:val="24"/>
          <w:lang w:eastAsia="es-EC"/>
        </w:rPr>
        <w:t>169,841.47</w:t>
      </w:r>
      <w:r w:rsidRPr="007A116D">
        <w:rPr>
          <w:rFonts w:ascii="Arial" w:eastAsia="Times New Roman" w:hAnsi="Arial" w:cs="Arial"/>
          <w:color w:val="000000"/>
          <w:sz w:val="26"/>
          <w:szCs w:val="26"/>
          <w:lang w:eastAsia="es-EC"/>
        </w:rPr>
        <w:t xml:space="preserve"> = </w:t>
      </w:r>
      <w:r w:rsidR="007456C2">
        <w:rPr>
          <w:rFonts w:ascii="Arial" w:eastAsia="Times New Roman" w:hAnsi="Arial" w:cs="Arial"/>
          <w:color w:val="000000"/>
          <w:sz w:val="26"/>
          <w:szCs w:val="26"/>
          <w:lang w:eastAsia="es-EC"/>
        </w:rPr>
        <w:t>1,009,100.82</w:t>
      </w:r>
      <w:r w:rsidRPr="007A116D">
        <w:rPr>
          <w:rFonts w:ascii="Arial" w:eastAsia="Times New Roman" w:hAnsi="Arial" w:cs="Arial"/>
          <w:color w:val="000000"/>
          <w:sz w:val="26"/>
          <w:szCs w:val="26"/>
          <w:lang w:eastAsia="es-EC"/>
        </w:rPr>
        <w:t xml:space="preserve">. </w:t>
      </w:r>
    </w:p>
    <w:p w14:paraId="5D1B6C7C" w14:textId="689E9463" w:rsidR="007A116D" w:rsidRPr="007A116D" w:rsidRDefault="007A116D" w:rsidP="007A116D">
      <w:pPr>
        <w:spacing w:before="240" w:after="240" w:line="240" w:lineRule="auto"/>
        <w:jc w:val="both"/>
        <w:rPr>
          <w:rFonts w:ascii="Times New Roman" w:eastAsia="Times New Roman" w:hAnsi="Times New Roman" w:cs="Times New Roman"/>
          <w:sz w:val="26"/>
          <w:szCs w:val="26"/>
          <w:lang w:eastAsia="es-EC"/>
        </w:rPr>
      </w:pPr>
      <w:r w:rsidRPr="007A116D">
        <w:rPr>
          <w:rFonts w:ascii="Arial" w:eastAsia="Times New Roman" w:hAnsi="Arial" w:cs="Arial"/>
          <w:color w:val="000000"/>
          <w:sz w:val="26"/>
          <w:szCs w:val="26"/>
          <w:lang w:eastAsia="es-EC"/>
        </w:rPr>
        <w:lastRenderedPageBreak/>
        <w:t>·</w:t>
      </w:r>
      <w:r w:rsidRPr="007A116D">
        <w:rPr>
          <w:rFonts w:ascii="Times New Roman" w:eastAsia="Times New Roman" w:hAnsi="Times New Roman" w:cs="Times New Roman"/>
          <w:color w:val="000000"/>
          <w:sz w:val="26"/>
          <w:szCs w:val="26"/>
          <w:lang w:eastAsia="es-EC"/>
        </w:rPr>
        <w:t xml:space="preserve">        </w:t>
      </w:r>
      <w:r w:rsidRPr="007A116D">
        <w:rPr>
          <w:rFonts w:ascii="Arial" w:eastAsia="Times New Roman" w:hAnsi="Arial" w:cs="Arial"/>
          <w:color w:val="000000"/>
          <w:sz w:val="26"/>
          <w:szCs w:val="26"/>
          <w:lang w:eastAsia="es-EC"/>
        </w:rPr>
        <w:t xml:space="preserve">El límite inferior (Q1 - 1.5IQR) es </w:t>
      </w:r>
      <w:r w:rsidR="007456C2" w:rsidRPr="00794A15">
        <w:rPr>
          <w:rFonts w:ascii="Arial" w:eastAsia="Times New Roman" w:hAnsi="Arial" w:cs="Arial"/>
          <w:color w:val="000000"/>
          <w:sz w:val="24"/>
          <w:szCs w:val="24"/>
          <w:lang w:eastAsia="es-EC"/>
        </w:rPr>
        <w:t>169,841.47</w:t>
      </w:r>
      <w:r w:rsidRPr="007A116D">
        <w:rPr>
          <w:rFonts w:ascii="Arial" w:eastAsia="Times New Roman" w:hAnsi="Arial" w:cs="Arial"/>
          <w:color w:val="000000"/>
          <w:sz w:val="26"/>
          <w:szCs w:val="26"/>
          <w:lang w:eastAsia="es-EC"/>
        </w:rPr>
        <w:t xml:space="preserve"> - 1.5</w:t>
      </w:r>
      <w:r w:rsidR="007456C2">
        <w:rPr>
          <w:rFonts w:ascii="Arial" w:eastAsia="Times New Roman" w:hAnsi="Arial" w:cs="Arial"/>
          <w:color w:val="000000"/>
          <w:sz w:val="26"/>
          <w:szCs w:val="26"/>
          <w:lang w:eastAsia="es-EC"/>
        </w:rPr>
        <w:t>(</w:t>
      </w:r>
      <w:r w:rsidR="007456C2">
        <w:rPr>
          <w:rFonts w:ascii="Arial" w:eastAsia="Times New Roman" w:hAnsi="Arial" w:cs="Arial"/>
          <w:color w:val="000000"/>
          <w:sz w:val="26"/>
          <w:szCs w:val="26"/>
          <w:lang w:eastAsia="es-EC"/>
        </w:rPr>
        <w:t>1,009,100.82</w:t>
      </w:r>
      <w:r w:rsidR="007456C2">
        <w:rPr>
          <w:rFonts w:ascii="Arial" w:eastAsia="Times New Roman" w:hAnsi="Arial" w:cs="Arial"/>
          <w:color w:val="000000"/>
          <w:sz w:val="26"/>
          <w:szCs w:val="26"/>
          <w:lang w:eastAsia="es-EC"/>
        </w:rPr>
        <w:t>)</w:t>
      </w:r>
      <w:r w:rsidRPr="007A116D">
        <w:rPr>
          <w:rFonts w:ascii="Arial" w:eastAsia="Times New Roman" w:hAnsi="Arial" w:cs="Arial"/>
          <w:color w:val="000000"/>
          <w:sz w:val="26"/>
          <w:szCs w:val="26"/>
          <w:lang w:eastAsia="es-EC"/>
        </w:rPr>
        <w:t xml:space="preserve"> = -</w:t>
      </w:r>
      <w:r w:rsidR="007456C2">
        <w:rPr>
          <w:rFonts w:ascii="Arial" w:eastAsia="Times New Roman" w:hAnsi="Arial" w:cs="Arial"/>
          <w:color w:val="000000"/>
          <w:sz w:val="26"/>
          <w:szCs w:val="26"/>
          <w:lang w:eastAsia="es-EC"/>
        </w:rPr>
        <w:t>334,708.94</w:t>
      </w:r>
      <w:r w:rsidRPr="007A116D">
        <w:rPr>
          <w:rFonts w:ascii="Arial" w:eastAsia="Times New Roman" w:hAnsi="Arial" w:cs="Arial"/>
          <w:color w:val="000000"/>
          <w:sz w:val="26"/>
          <w:szCs w:val="26"/>
          <w:lang w:eastAsia="es-EC"/>
        </w:rPr>
        <w:t>.</w:t>
      </w:r>
    </w:p>
    <w:p w14:paraId="001DC5DD" w14:textId="3786CEA4" w:rsidR="007A116D" w:rsidRPr="007A116D" w:rsidRDefault="007A116D" w:rsidP="007A116D">
      <w:pPr>
        <w:spacing w:before="240" w:after="240" w:line="240" w:lineRule="auto"/>
        <w:jc w:val="both"/>
        <w:rPr>
          <w:rFonts w:ascii="Times New Roman" w:eastAsia="Times New Roman" w:hAnsi="Times New Roman" w:cs="Times New Roman"/>
          <w:sz w:val="26"/>
          <w:szCs w:val="26"/>
          <w:lang w:eastAsia="es-EC"/>
        </w:rPr>
      </w:pPr>
      <w:r w:rsidRPr="007A116D">
        <w:rPr>
          <w:rFonts w:ascii="Arial" w:eastAsia="Times New Roman" w:hAnsi="Arial" w:cs="Arial"/>
          <w:color w:val="000000"/>
          <w:sz w:val="26"/>
          <w:szCs w:val="26"/>
          <w:lang w:eastAsia="es-EC"/>
        </w:rPr>
        <w:t>·</w:t>
      </w:r>
      <w:r w:rsidRPr="007A116D">
        <w:rPr>
          <w:rFonts w:ascii="Times New Roman" w:eastAsia="Times New Roman" w:hAnsi="Times New Roman" w:cs="Times New Roman"/>
          <w:color w:val="000000"/>
          <w:sz w:val="26"/>
          <w:szCs w:val="26"/>
          <w:lang w:eastAsia="es-EC"/>
        </w:rPr>
        <w:t xml:space="preserve">        </w:t>
      </w:r>
      <w:r w:rsidRPr="007A116D">
        <w:rPr>
          <w:rFonts w:ascii="Arial" w:eastAsia="Times New Roman" w:hAnsi="Arial" w:cs="Arial"/>
          <w:color w:val="000000"/>
          <w:sz w:val="26"/>
          <w:szCs w:val="26"/>
          <w:lang w:eastAsia="es-EC"/>
        </w:rPr>
        <w:t xml:space="preserve">El límite superior (Q3 + 1.5IQR) es </w:t>
      </w:r>
      <w:r w:rsidR="007456C2" w:rsidRPr="00794A15">
        <w:rPr>
          <w:rFonts w:ascii="Arial" w:eastAsia="Times New Roman" w:hAnsi="Arial" w:cs="Arial"/>
          <w:color w:val="000000"/>
          <w:sz w:val="24"/>
          <w:szCs w:val="24"/>
          <w:lang w:eastAsia="es-EC"/>
        </w:rPr>
        <w:t>1,178,942.29</w:t>
      </w:r>
      <w:r w:rsidRPr="007A116D">
        <w:rPr>
          <w:rFonts w:ascii="Arial" w:eastAsia="Times New Roman" w:hAnsi="Arial" w:cs="Arial"/>
          <w:color w:val="000000"/>
          <w:sz w:val="26"/>
          <w:szCs w:val="26"/>
          <w:lang w:eastAsia="es-EC"/>
        </w:rPr>
        <w:t xml:space="preserve"> </w:t>
      </w:r>
      <w:r w:rsidR="007456C2">
        <w:rPr>
          <w:rFonts w:ascii="Arial" w:eastAsia="Times New Roman" w:hAnsi="Arial" w:cs="Arial"/>
          <w:color w:val="000000"/>
          <w:sz w:val="26"/>
          <w:szCs w:val="26"/>
          <w:lang w:eastAsia="es-EC"/>
        </w:rPr>
        <w:t>+</w:t>
      </w:r>
      <w:r w:rsidR="007456C2" w:rsidRPr="007A116D">
        <w:rPr>
          <w:rFonts w:ascii="Arial" w:eastAsia="Times New Roman" w:hAnsi="Arial" w:cs="Arial"/>
          <w:color w:val="000000"/>
          <w:sz w:val="26"/>
          <w:szCs w:val="26"/>
          <w:lang w:eastAsia="es-EC"/>
        </w:rPr>
        <w:t xml:space="preserve"> 1.5</w:t>
      </w:r>
      <w:r w:rsidR="007456C2">
        <w:rPr>
          <w:rFonts w:ascii="Arial" w:eastAsia="Times New Roman" w:hAnsi="Arial" w:cs="Arial"/>
          <w:color w:val="000000"/>
          <w:sz w:val="26"/>
          <w:szCs w:val="26"/>
          <w:lang w:eastAsia="es-EC"/>
        </w:rPr>
        <w:t>(1,009,100.82)</w:t>
      </w:r>
      <w:r w:rsidR="007456C2" w:rsidRPr="007A116D">
        <w:rPr>
          <w:rFonts w:ascii="Arial" w:eastAsia="Times New Roman" w:hAnsi="Arial" w:cs="Arial"/>
          <w:color w:val="000000"/>
          <w:sz w:val="26"/>
          <w:szCs w:val="26"/>
          <w:lang w:eastAsia="es-EC"/>
        </w:rPr>
        <w:t xml:space="preserve"> = </w:t>
      </w:r>
      <w:r w:rsidR="007456C2">
        <w:rPr>
          <w:rFonts w:ascii="Arial" w:eastAsia="Times New Roman" w:hAnsi="Arial" w:cs="Arial"/>
          <w:color w:val="000000"/>
          <w:sz w:val="26"/>
          <w:szCs w:val="26"/>
          <w:lang w:eastAsia="es-EC"/>
        </w:rPr>
        <w:t>2,692,593.52</w:t>
      </w:r>
      <w:r w:rsidRPr="007A116D">
        <w:rPr>
          <w:rFonts w:ascii="Arial" w:eastAsia="Times New Roman" w:hAnsi="Arial" w:cs="Arial"/>
          <w:color w:val="000000"/>
          <w:sz w:val="26"/>
          <w:szCs w:val="26"/>
          <w:lang w:eastAsia="es-EC"/>
        </w:rPr>
        <w:t>.</w:t>
      </w:r>
    </w:p>
    <w:p w14:paraId="113C6995" w14:textId="254E23A5" w:rsidR="007A116D" w:rsidRDefault="007A116D" w:rsidP="007A116D">
      <w:pPr>
        <w:spacing w:before="240" w:after="240" w:line="240" w:lineRule="auto"/>
        <w:jc w:val="both"/>
        <w:rPr>
          <w:rFonts w:ascii="Arial" w:eastAsia="Times New Roman" w:hAnsi="Arial" w:cs="Arial"/>
          <w:color w:val="000000"/>
          <w:sz w:val="24"/>
          <w:szCs w:val="24"/>
          <w:lang w:eastAsia="es-EC"/>
        </w:rPr>
      </w:pPr>
      <w:r w:rsidRPr="007A116D">
        <w:rPr>
          <w:rFonts w:ascii="Arial" w:eastAsia="Times New Roman" w:hAnsi="Arial" w:cs="Arial"/>
          <w:color w:val="000000"/>
          <w:sz w:val="26"/>
          <w:szCs w:val="26"/>
          <w:lang w:eastAsia="es-EC"/>
        </w:rPr>
        <w:t>·</w:t>
      </w:r>
      <w:r w:rsidRPr="007A116D">
        <w:rPr>
          <w:rFonts w:ascii="Times New Roman" w:eastAsia="Times New Roman" w:hAnsi="Times New Roman" w:cs="Times New Roman"/>
          <w:color w:val="000000"/>
          <w:sz w:val="26"/>
          <w:szCs w:val="26"/>
          <w:lang w:eastAsia="es-EC"/>
        </w:rPr>
        <w:t xml:space="preserve">        </w:t>
      </w:r>
      <w:r w:rsidR="007456C2" w:rsidRPr="00794A15">
        <w:rPr>
          <w:rFonts w:ascii="Arial" w:eastAsia="Times New Roman" w:hAnsi="Arial" w:cs="Arial"/>
          <w:color w:val="000000"/>
          <w:sz w:val="24"/>
          <w:szCs w:val="24"/>
          <w:lang w:eastAsia="es-EC"/>
        </w:rPr>
        <w:t>Se observan varios puntos individuales por encima del bigote superior, los cuales representan valores atípicos. El valor atípico más alto es de aproximadamente €5,068,488.89.</w:t>
      </w:r>
    </w:p>
    <w:p w14:paraId="41BA2D1C" w14:textId="45ABEC7A" w:rsidR="00B36AB9" w:rsidRPr="007A116D" w:rsidRDefault="00B36AB9" w:rsidP="007A116D">
      <w:pPr>
        <w:spacing w:before="240" w:after="240" w:line="240" w:lineRule="auto"/>
        <w:jc w:val="both"/>
        <w:rPr>
          <w:rFonts w:ascii="Arial" w:eastAsia="Times New Roman" w:hAnsi="Arial" w:cs="Arial"/>
          <w:color w:val="000000"/>
          <w:sz w:val="24"/>
          <w:szCs w:val="24"/>
          <w:lang w:eastAsia="es-EC"/>
        </w:rPr>
      </w:pPr>
      <w:r w:rsidRPr="00B36AB9">
        <w:rPr>
          <w:rFonts w:ascii="Arial" w:eastAsia="Times New Roman" w:hAnsi="Arial" w:cs="Arial"/>
          <w:noProof/>
          <w:color w:val="000000"/>
          <w:sz w:val="24"/>
          <w:szCs w:val="24"/>
          <w:lang w:eastAsia="es-EC"/>
        </w:rPr>
        <w:drawing>
          <wp:inline distT="0" distB="0" distL="0" distR="0" wp14:anchorId="1208E137" wp14:editId="57ADE80C">
            <wp:extent cx="3526155" cy="62274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6155" cy="6227445"/>
                    </a:xfrm>
                    <a:prstGeom prst="rect">
                      <a:avLst/>
                    </a:prstGeom>
                    <a:noFill/>
                    <a:ln>
                      <a:noFill/>
                    </a:ln>
                  </pic:spPr>
                </pic:pic>
              </a:graphicData>
            </a:graphic>
          </wp:inline>
        </w:drawing>
      </w:r>
    </w:p>
    <w:p w14:paraId="517C64D2" w14:textId="7B89DF6C" w:rsidR="00B10BA2" w:rsidRDefault="007A116D" w:rsidP="007A116D">
      <w:pPr>
        <w:jc w:val="both"/>
        <w:rPr>
          <w:rFonts w:ascii="Arial" w:eastAsia="Times New Roman" w:hAnsi="Arial" w:cs="Arial"/>
          <w:color w:val="000000"/>
          <w:sz w:val="26"/>
          <w:szCs w:val="26"/>
          <w:lang w:eastAsia="es-EC"/>
        </w:rPr>
      </w:pPr>
      <w:r w:rsidRPr="00794A15">
        <w:rPr>
          <w:rFonts w:ascii="Arial" w:eastAsia="Times New Roman" w:hAnsi="Arial" w:cs="Arial"/>
          <w:color w:val="000000"/>
          <w:sz w:val="26"/>
          <w:szCs w:val="26"/>
          <w:lang w:eastAsia="es-EC"/>
        </w:rPr>
        <w:t>·</w:t>
      </w:r>
      <w:r w:rsidRPr="00794A15">
        <w:rPr>
          <w:rFonts w:ascii="Times New Roman" w:eastAsia="Times New Roman" w:hAnsi="Times New Roman" w:cs="Times New Roman"/>
          <w:color w:val="000000"/>
          <w:sz w:val="26"/>
          <w:szCs w:val="26"/>
          <w:lang w:eastAsia="es-EC"/>
        </w:rPr>
        <w:t xml:space="preserve">        </w:t>
      </w:r>
      <w:r w:rsidR="007456C2" w:rsidRPr="007456C2">
        <w:rPr>
          <w:rFonts w:ascii="Arial" w:eastAsia="Times New Roman" w:hAnsi="Arial" w:cs="Arial"/>
          <w:color w:val="000000"/>
          <w:sz w:val="26"/>
          <w:szCs w:val="26"/>
          <w:lang w:eastAsia="es-EC"/>
        </w:rPr>
        <w:t>El bigote superior (la línea que se extiende desde la caja hacia arriba) es notablemente más largo que el bigote inferior. Esto sugiere que hay una mayor dispersión de los datos en la cola derecha de la distribución.</w:t>
      </w:r>
    </w:p>
    <w:p w14:paraId="734D288B" w14:textId="5D0E6085" w:rsidR="007456C2" w:rsidRPr="007456C2" w:rsidRDefault="007456C2" w:rsidP="007456C2">
      <w:pPr>
        <w:jc w:val="both"/>
        <w:rPr>
          <w:rFonts w:ascii="Arial" w:eastAsia="Times New Roman" w:hAnsi="Arial" w:cs="Arial"/>
          <w:color w:val="000000"/>
          <w:sz w:val="26"/>
          <w:szCs w:val="26"/>
          <w:lang w:eastAsia="es-EC"/>
        </w:rPr>
      </w:pPr>
      <w:r>
        <w:rPr>
          <w:rFonts w:ascii="Arial" w:eastAsia="Times New Roman" w:hAnsi="Arial" w:cs="Arial"/>
          <w:color w:val="000000"/>
          <w:sz w:val="26"/>
          <w:szCs w:val="26"/>
          <w:lang w:eastAsia="es-EC"/>
        </w:rPr>
        <w:lastRenderedPageBreak/>
        <w:t>.     L</w:t>
      </w:r>
      <w:r w:rsidRPr="007456C2">
        <w:rPr>
          <w:rFonts w:ascii="Arial" w:eastAsia="Times New Roman" w:hAnsi="Arial" w:cs="Arial"/>
          <w:color w:val="000000"/>
          <w:sz w:val="26"/>
          <w:szCs w:val="26"/>
          <w:lang w:eastAsia="es-EC"/>
        </w:rPr>
        <w:t>a mediana (la línea dentro de la caja) está más cerca del primer cuartil (Q1) que del tercer cuartil (Q3), esto indica asimetría a la derecha. En otras palabras, la mediana se encuentra desplazada hacia la parte inferior de la caja y se presenta una asim</w:t>
      </w:r>
      <w:r>
        <w:rPr>
          <w:rFonts w:ascii="Arial" w:eastAsia="Times New Roman" w:hAnsi="Arial" w:cs="Arial"/>
          <w:color w:val="000000"/>
          <w:sz w:val="26"/>
          <w:szCs w:val="26"/>
          <w:lang w:eastAsia="es-EC"/>
        </w:rPr>
        <w:t>e</w:t>
      </w:r>
      <w:r w:rsidRPr="007456C2">
        <w:rPr>
          <w:rFonts w:ascii="Arial" w:eastAsia="Times New Roman" w:hAnsi="Arial" w:cs="Arial"/>
          <w:color w:val="000000"/>
          <w:sz w:val="26"/>
          <w:szCs w:val="26"/>
          <w:lang w:eastAsia="es-EC"/>
        </w:rPr>
        <w:t>tr</w:t>
      </w:r>
      <w:r>
        <w:rPr>
          <w:rFonts w:ascii="Arial" w:eastAsia="Times New Roman" w:hAnsi="Arial" w:cs="Arial"/>
          <w:color w:val="000000"/>
          <w:sz w:val="26"/>
          <w:szCs w:val="26"/>
          <w:lang w:eastAsia="es-EC"/>
        </w:rPr>
        <w:t>í</w:t>
      </w:r>
      <w:r w:rsidRPr="007456C2">
        <w:rPr>
          <w:rFonts w:ascii="Arial" w:eastAsia="Times New Roman" w:hAnsi="Arial" w:cs="Arial"/>
          <w:color w:val="000000"/>
          <w:sz w:val="26"/>
          <w:szCs w:val="26"/>
          <w:lang w:eastAsia="es-EC"/>
        </w:rPr>
        <w:t>a a la derecha.</w:t>
      </w:r>
    </w:p>
    <w:p w14:paraId="4F456927" w14:textId="77777777" w:rsidR="007456C2" w:rsidRPr="00794A15" w:rsidRDefault="007456C2" w:rsidP="007A116D">
      <w:pPr>
        <w:jc w:val="both"/>
        <w:rPr>
          <w:sz w:val="26"/>
          <w:szCs w:val="26"/>
        </w:rPr>
      </w:pPr>
    </w:p>
    <w:p w14:paraId="7C43213B" w14:textId="365EE1E6" w:rsidR="00B10BA2" w:rsidRDefault="00B10BA2" w:rsidP="00C032D3">
      <w:pPr>
        <w:jc w:val="both"/>
        <w:rPr>
          <w:sz w:val="28"/>
          <w:szCs w:val="28"/>
        </w:rPr>
      </w:pPr>
    </w:p>
    <w:p w14:paraId="1E70532A" w14:textId="77777777" w:rsidR="00B10BA2" w:rsidRDefault="00B10BA2" w:rsidP="00B10BA2">
      <w:pPr>
        <w:pStyle w:val="NormalWeb"/>
        <w:numPr>
          <w:ilvl w:val="0"/>
          <w:numId w:val="4"/>
        </w:numPr>
        <w:spacing w:before="0" w:beforeAutospacing="0" w:after="0" w:afterAutospacing="0"/>
        <w:textAlignment w:val="baseline"/>
        <w:rPr>
          <w:rFonts w:ascii="Arial" w:hAnsi="Arial" w:cs="Arial"/>
          <w:b/>
          <w:bCs/>
          <w:color w:val="000000"/>
        </w:rPr>
      </w:pPr>
      <w:r>
        <w:rPr>
          <w:rFonts w:ascii="Arial" w:hAnsi="Arial" w:cs="Arial"/>
          <w:b/>
          <w:bCs/>
          <w:color w:val="000000"/>
        </w:rPr>
        <w:t>¿Cómo se distribuye el número de unidades que se venden?</w:t>
      </w:r>
    </w:p>
    <w:p w14:paraId="5633456D" w14:textId="77777777" w:rsidR="00B10BA2" w:rsidRDefault="00B10BA2" w:rsidP="00B10BA2">
      <w:pPr>
        <w:pStyle w:val="NormalWeb"/>
        <w:spacing w:before="0" w:beforeAutospacing="0" w:after="0" w:afterAutospacing="0"/>
      </w:pPr>
      <w:r>
        <w:rPr>
          <w:rFonts w:ascii="Arial" w:hAnsi="Arial" w:cs="Arial"/>
          <w:b/>
          <w:bCs/>
          <w:color w:val="000000"/>
        </w:rPr>
        <w:t xml:space="preserve">Diagrama de cajas: </w:t>
      </w:r>
      <w:r>
        <w:rPr>
          <w:rFonts w:ascii="Arial" w:hAnsi="Arial" w:cs="Arial"/>
          <w:color w:val="000000"/>
        </w:rPr>
        <w:t> este tipo de gráfico es útil para visualizar la distribución de un conjunto de datos, así como para identificar valores atípicos y resumir algunas características clave de la distribución, como la mediana, los cuartiles y los valores mínimos y máximos.</w:t>
      </w:r>
    </w:p>
    <w:p w14:paraId="710D0BFE" w14:textId="5A0E7105" w:rsidR="00B10BA2" w:rsidRDefault="00502700" w:rsidP="00C032D3">
      <w:pPr>
        <w:jc w:val="both"/>
        <w:rPr>
          <w:sz w:val="28"/>
          <w:szCs w:val="28"/>
        </w:rPr>
      </w:pPr>
      <w:r w:rsidRPr="00502700">
        <w:rPr>
          <w:noProof/>
          <w:sz w:val="28"/>
          <w:szCs w:val="28"/>
        </w:rPr>
        <w:drawing>
          <wp:inline distT="0" distB="0" distL="0" distR="0" wp14:anchorId="6C99AA32" wp14:editId="1B7B5083">
            <wp:extent cx="5400040" cy="34747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74720"/>
                    </a:xfrm>
                    <a:prstGeom prst="rect">
                      <a:avLst/>
                    </a:prstGeom>
                    <a:noFill/>
                    <a:ln>
                      <a:noFill/>
                    </a:ln>
                  </pic:spPr>
                </pic:pic>
              </a:graphicData>
            </a:graphic>
          </wp:inline>
        </w:drawing>
      </w:r>
    </w:p>
    <w:p w14:paraId="12207A7F" w14:textId="77777777" w:rsidR="00691244" w:rsidRPr="00691244" w:rsidRDefault="00691244" w:rsidP="00691244">
      <w:pPr>
        <w:jc w:val="both"/>
        <w:rPr>
          <w:sz w:val="28"/>
          <w:szCs w:val="28"/>
        </w:rPr>
      </w:pPr>
      <w:r w:rsidRPr="00691244">
        <w:rPr>
          <w:sz w:val="28"/>
          <w:szCs w:val="28"/>
        </w:rPr>
        <w:t>Descripción</w:t>
      </w:r>
    </w:p>
    <w:p w14:paraId="0308273E" w14:textId="77777777" w:rsidR="00691244" w:rsidRPr="00691244" w:rsidRDefault="00691244" w:rsidP="00691244">
      <w:pPr>
        <w:jc w:val="both"/>
        <w:rPr>
          <w:sz w:val="28"/>
          <w:szCs w:val="28"/>
        </w:rPr>
      </w:pPr>
      <w:r w:rsidRPr="00691244">
        <w:rPr>
          <w:sz w:val="28"/>
          <w:szCs w:val="28"/>
        </w:rPr>
        <w:t>El siguiente diagrama de cajas y bigotes muestra la distribución de la variable "unidades de venta" en un registro de ventas.</w:t>
      </w:r>
    </w:p>
    <w:p w14:paraId="6AD6257A" w14:textId="77777777" w:rsidR="00691244" w:rsidRPr="00691244" w:rsidRDefault="00691244" w:rsidP="00691244">
      <w:pPr>
        <w:jc w:val="both"/>
        <w:rPr>
          <w:sz w:val="28"/>
          <w:szCs w:val="28"/>
        </w:rPr>
      </w:pPr>
    </w:p>
    <w:p w14:paraId="34689CC1" w14:textId="77777777" w:rsidR="00691244" w:rsidRPr="00691244" w:rsidRDefault="00691244" w:rsidP="00691244">
      <w:pPr>
        <w:jc w:val="both"/>
        <w:rPr>
          <w:sz w:val="28"/>
          <w:szCs w:val="28"/>
        </w:rPr>
      </w:pPr>
      <w:r w:rsidRPr="00691244">
        <w:rPr>
          <w:sz w:val="28"/>
          <w:szCs w:val="28"/>
        </w:rPr>
        <w:t>Interpretación</w:t>
      </w:r>
    </w:p>
    <w:p w14:paraId="2C526404" w14:textId="2E984703" w:rsidR="00691244" w:rsidRPr="00691244" w:rsidRDefault="00691244" w:rsidP="00691244">
      <w:pPr>
        <w:pStyle w:val="Prrafodelista"/>
        <w:numPr>
          <w:ilvl w:val="0"/>
          <w:numId w:val="2"/>
        </w:numPr>
        <w:jc w:val="both"/>
        <w:rPr>
          <w:sz w:val="28"/>
          <w:szCs w:val="28"/>
        </w:rPr>
      </w:pPr>
      <w:r w:rsidRPr="00691244">
        <w:rPr>
          <w:sz w:val="28"/>
          <w:szCs w:val="28"/>
        </w:rPr>
        <w:t>Del gráfico podemos observar que la mediana de unidades de venta es 5125.5, lo que significa que la mitad de las ventas están por debajo de este valor y la otra mitad por encima.</w:t>
      </w:r>
    </w:p>
    <w:p w14:paraId="6FD3C75D" w14:textId="0FF9EC33" w:rsidR="00691244" w:rsidRPr="00691244" w:rsidRDefault="00691244" w:rsidP="00691244">
      <w:pPr>
        <w:pStyle w:val="Prrafodelista"/>
        <w:numPr>
          <w:ilvl w:val="0"/>
          <w:numId w:val="2"/>
        </w:numPr>
        <w:jc w:val="both"/>
        <w:rPr>
          <w:sz w:val="28"/>
          <w:szCs w:val="28"/>
        </w:rPr>
      </w:pPr>
      <w:r w:rsidRPr="00691244">
        <w:rPr>
          <w:sz w:val="28"/>
          <w:szCs w:val="28"/>
        </w:rPr>
        <w:t>La media o promedio de los datos es 5024.481 unidades de venta.</w:t>
      </w:r>
    </w:p>
    <w:p w14:paraId="2A9439CA" w14:textId="60D5135C" w:rsidR="00691244" w:rsidRPr="00691244" w:rsidRDefault="00691244" w:rsidP="00691244">
      <w:pPr>
        <w:pStyle w:val="Prrafodelista"/>
        <w:numPr>
          <w:ilvl w:val="0"/>
          <w:numId w:val="2"/>
        </w:numPr>
        <w:jc w:val="both"/>
        <w:rPr>
          <w:sz w:val="28"/>
          <w:szCs w:val="28"/>
        </w:rPr>
      </w:pPr>
      <w:r w:rsidRPr="00691244">
        <w:rPr>
          <w:sz w:val="28"/>
          <w:szCs w:val="28"/>
        </w:rPr>
        <w:lastRenderedPageBreak/>
        <w:t>La media es significativa porque es muy similar a la mediana, indicando una distribución equilibrada sin sesgo significativo.</w:t>
      </w:r>
    </w:p>
    <w:p w14:paraId="1379CFBB" w14:textId="4EF5B8AD" w:rsidR="00691244" w:rsidRPr="00691244" w:rsidRDefault="00691244" w:rsidP="00691244">
      <w:pPr>
        <w:pStyle w:val="Prrafodelista"/>
        <w:numPr>
          <w:ilvl w:val="0"/>
          <w:numId w:val="2"/>
        </w:numPr>
        <w:jc w:val="both"/>
        <w:rPr>
          <w:sz w:val="28"/>
          <w:szCs w:val="28"/>
        </w:rPr>
      </w:pPr>
      <w:r w:rsidRPr="00691244">
        <w:rPr>
          <w:sz w:val="28"/>
          <w:szCs w:val="28"/>
        </w:rPr>
        <w:t>El primer cuartil (Q1) es 2657.5. Esto significa que el 25% de las ventas están por debajo de este valor.</w:t>
      </w:r>
    </w:p>
    <w:p w14:paraId="4322E823" w14:textId="17BF9763" w:rsidR="00691244" w:rsidRPr="00691244" w:rsidRDefault="00691244" w:rsidP="00691244">
      <w:pPr>
        <w:pStyle w:val="Prrafodelista"/>
        <w:numPr>
          <w:ilvl w:val="0"/>
          <w:numId w:val="2"/>
        </w:numPr>
        <w:jc w:val="both"/>
        <w:rPr>
          <w:sz w:val="28"/>
          <w:szCs w:val="28"/>
        </w:rPr>
      </w:pPr>
      <w:r w:rsidRPr="00691244">
        <w:rPr>
          <w:sz w:val="28"/>
          <w:szCs w:val="28"/>
        </w:rPr>
        <w:t>El tercer cuartil (Q3) es 7475.25. Esto significa que el 75% de las ventas están por debajo de este valor y el 25% restante está por encima.</w:t>
      </w:r>
    </w:p>
    <w:p w14:paraId="2D307130" w14:textId="4CD3DA4C" w:rsidR="00691244" w:rsidRPr="00691244" w:rsidRDefault="00691244" w:rsidP="00691244">
      <w:pPr>
        <w:pStyle w:val="Prrafodelista"/>
        <w:numPr>
          <w:ilvl w:val="0"/>
          <w:numId w:val="2"/>
        </w:numPr>
        <w:jc w:val="both"/>
        <w:rPr>
          <w:sz w:val="28"/>
          <w:szCs w:val="28"/>
        </w:rPr>
      </w:pPr>
      <w:r w:rsidRPr="00691244">
        <w:rPr>
          <w:sz w:val="28"/>
          <w:szCs w:val="28"/>
        </w:rPr>
        <w:t>El rango intercuartílico (IQR): La diferencia entre el tercer cuartil y el primer cuartil (Q3 - Q1) es 7475.25 - 2657.5 = 4817.75. Este es el rango donde se encuentra el 50% central de los datos.</w:t>
      </w:r>
    </w:p>
    <w:p w14:paraId="36731C8C" w14:textId="252DE246" w:rsidR="00691244" w:rsidRPr="00691244" w:rsidRDefault="00691244" w:rsidP="00691244">
      <w:pPr>
        <w:pStyle w:val="Prrafodelista"/>
        <w:numPr>
          <w:ilvl w:val="0"/>
          <w:numId w:val="2"/>
        </w:numPr>
        <w:jc w:val="both"/>
        <w:rPr>
          <w:sz w:val="28"/>
          <w:szCs w:val="28"/>
        </w:rPr>
      </w:pPr>
      <w:r w:rsidRPr="00691244">
        <w:rPr>
          <w:sz w:val="28"/>
          <w:szCs w:val="28"/>
        </w:rPr>
        <w:t>El límite inferior (Q1 - 1.5</w:t>
      </w:r>
      <w:r>
        <w:rPr>
          <w:sz w:val="28"/>
          <w:szCs w:val="28"/>
        </w:rPr>
        <w:t>I</w:t>
      </w:r>
      <w:r w:rsidRPr="00691244">
        <w:rPr>
          <w:sz w:val="28"/>
          <w:szCs w:val="28"/>
        </w:rPr>
        <w:t>QR) es 2657.5 - 1.54817.75 = -4569.125.</w:t>
      </w:r>
    </w:p>
    <w:p w14:paraId="791B0617" w14:textId="48D36517" w:rsidR="00691244" w:rsidRPr="00691244" w:rsidRDefault="00691244" w:rsidP="00691244">
      <w:pPr>
        <w:pStyle w:val="Prrafodelista"/>
        <w:numPr>
          <w:ilvl w:val="0"/>
          <w:numId w:val="2"/>
        </w:numPr>
        <w:jc w:val="both"/>
        <w:rPr>
          <w:sz w:val="28"/>
          <w:szCs w:val="28"/>
        </w:rPr>
      </w:pPr>
      <w:r w:rsidRPr="00691244">
        <w:rPr>
          <w:sz w:val="28"/>
          <w:szCs w:val="28"/>
        </w:rPr>
        <w:t>El límite superior (Q3 + 1.5IQR) es 7475.25 + 1.54817.75 = 14701.875.</w:t>
      </w:r>
    </w:p>
    <w:p w14:paraId="1CC59B64" w14:textId="3F065B67" w:rsidR="00691244" w:rsidRPr="00691244" w:rsidRDefault="00691244" w:rsidP="00691244">
      <w:pPr>
        <w:pStyle w:val="Prrafodelista"/>
        <w:numPr>
          <w:ilvl w:val="0"/>
          <w:numId w:val="2"/>
        </w:numPr>
        <w:jc w:val="both"/>
        <w:rPr>
          <w:sz w:val="28"/>
          <w:szCs w:val="28"/>
        </w:rPr>
      </w:pPr>
      <w:r w:rsidRPr="00691244">
        <w:rPr>
          <w:sz w:val="28"/>
          <w:szCs w:val="28"/>
        </w:rPr>
        <w:t>Dado que ningún dato se encuentra fuera de este rango y como se observa en la gráfica, no hay presencia de datos atípicos.</w:t>
      </w:r>
    </w:p>
    <w:p w14:paraId="63E708B1" w14:textId="1901837A" w:rsidR="00691244" w:rsidRPr="00691244" w:rsidRDefault="00691244" w:rsidP="00691244">
      <w:pPr>
        <w:pStyle w:val="Prrafodelista"/>
        <w:numPr>
          <w:ilvl w:val="0"/>
          <w:numId w:val="2"/>
        </w:numPr>
        <w:jc w:val="both"/>
        <w:rPr>
          <w:sz w:val="28"/>
          <w:szCs w:val="28"/>
        </w:rPr>
      </w:pPr>
      <w:r w:rsidRPr="00691244">
        <w:rPr>
          <w:sz w:val="28"/>
          <w:szCs w:val="28"/>
        </w:rPr>
        <w:t>También podemos notar que la forma de la distribución es casi simétrica, puesto que la mediana está centrada en la caja y muy cercana a la media. Además, los bigotes son aproximadamente de la misma longitud en ambos lados.</w:t>
      </w:r>
    </w:p>
    <w:p w14:paraId="31456570" w14:textId="77777777" w:rsidR="00691244" w:rsidRPr="00691244" w:rsidRDefault="00691244" w:rsidP="00691244">
      <w:pPr>
        <w:jc w:val="both"/>
        <w:rPr>
          <w:sz w:val="28"/>
          <w:szCs w:val="28"/>
        </w:rPr>
      </w:pPr>
      <w:r w:rsidRPr="00691244">
        <w:rPr>
          <w:sz w:val="28"/>
          <w:szCs w:val="28"/>
        </w:rPr>
        <w:t>Nota sobre los límites superior e inferior</w:t>
      </w:r>
    </w:p>
    <w:p w14:paraId="00634618" w14:textId="4E514C2F" w:rsidR="00B55E45" w:rsidRPr="00194AF8" w:rsidRDefault="00691244" w:rsidP="00691244">
      <w:pPr>
        <w:jc w:val="both"/>
        <w:rPr>
          <w:sz w:val="28"/>
          <w:szCs w:val="28"/>
        </w:rPr>
      </w:pPr>
      <w:r w:rsidRPr="00691244">
        <w:rPr>
          <w:sz w:val="28"/>
          <w:szCs w:val="28"/>
        </w:rPr>
        <w:t xml:space="preserve">Aunque los cálculos para los límites inferior y superior (utilizando 1.5 veces el IQR) pueden dar valores negativos o muy altos, estos valores son teóricos para identificar posibles </w:t>
      </w:r>
      <w:proofErr w:type="spellStart"/>
      <w:r w:rsidRPr="00691244">
        <w:rPr>
          <w:sz w:val="28"/>
          <w:szCs w:val="28"/>
        </w:rPr>
        <w:t>outliers</w:t>
      </w:r>
      <w:proofErr w:type="spellEnd"/>
      <w:r w:rsidRPr="00691244">
        <w:rPr>
          <w:sz w:val="28"/>
          <w:szCs w:val="28"/>
        </w:rPr>
        <w:t xml:space="preserve">. En la práctica, los datos reales no pueden ser negativos (para unidades de venta) y cualquier valor fuera de los bigotes del diagrama se consideraría un </w:t>
      </w:r>
      <w:proofErr w:type="spellStart"/>
      <w:r w:rsidRPr="00691244">
        <w:rPr>
          <w:sz w:val="28"/>
          <w:szCs w:val="28"/>
        </w:rPr>
        <w:t>outlier</w:t>
      </w:r>
      <w:proofErr w:type="spellEnd"/>
      <w:r w:rsidRPr="00691244">
        <w:rPr>
          <w:sz w:val="28"/>
          <w:szCs w:val="28"/>
        </w:rPr>
        <w:t xml:space="preserve">. En este caso, el diagrama no muestra ningún </w:t>
      </w:r>
      <w:proofErr w:type="spellStart"/>
      <w:r w:rsidRPr="00691244">
        <w:rPr>
          <w:sz w:val="28"/>
          <w:szCs w:val="28"/>
        </w:rPr>
        <w:t>outlier</w:t>
      </w:r>
      <w:proofErr w:type="spellEnd"/>
      <w:r w:rsidRPr="00691244">
        <w:rPr>
          <w:sz w:val="28"/>
          <w:szCs w:val="28"/>
        </w:rPr>
        <w:t>, lo que respalda la simetría y la normalidad de la distribución.</w:t>
      </w:r>
    </w:p>
    <w:sectPr w:rsidR="00B55E45" w:rsidRPr="00194A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9047A"/>
    <w:multiLevelType w:val="multilevel"/>
    <w:tmpl w:val="E5E0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52A54"/>
    <w:multiLevelType w:val="multilevel"/>
    <w:tmpl w:val="240C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96B05"/>
    <w:multiLevelType w:val="hybridMultilevel"/>
    <w:tmpl w:val="E6B8CE08"/>
    <w:lvl w:ilvl="0" w:tplc="988235EC">
      <w:start w:val="4"/>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9A3295A"/>
    <w:multiLevelType w:val="multilevel"/>
    <w:tmpl w:val="17AC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84026"/>
    <w:multiLevelType w:val="hybridMultilevel"/>
    <w:tmpl w:val="F8CC5F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E4B2876"/>
    <w:multiLevelType w:val="hybridMultilevel"/>
    <w:tmpl w:val="811C7B78"/>
    <w:lvl w:ilvl="0" w:tplc="64A45C04">
      <w:start w:val="4"/>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A7F2397"/>
    <w:multiLevelType w:val="hybridMultilevel"/>
    <w:tmpl w:val="642A0C3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D3"/>
    <w:rsid w:val="000E790B"/>
    <w:rsid w:val="00194AF8"/>
    <w:rsid w:val="00502700"/>
    <w:rsid w:val="00594A39"/>
    <w:rsid w:val="00691244"/>
    <w:rsid w:val="007456C2"/>
    <w:rsid w:val="00794A15"/>
    <w:rsid w:val="007A0B60"/>
    <w:rsid w:val="007A116D"/>
    <w:rsid w:val="007A29BE"/>
    <w:rsid w:val="007B0006"/>
    <w:rsid w:val="008777F7"/>
    <w:rsid w:val="00B10BA2"/>
    <w:rsid w:val="00B36AB9"/>
    <w:rsid w:val="00B55E45"/>
    <w:rsid w:val="00C032D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EB15"/>
  <w15:chartTrackingRefBased/>
  <w15:docId w15:val="{3A3EE534-551A-42C4-9B93-8ABA6DCC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2D3"/>
    <w:pPr>
      <w:ind w:left="720"/>
      <w:contextualSpacing/>
    </w:pPr>
  </w:style>
  <w:style w:type="paragraph" w:customStyle="1" w:styleId="yxme4">
    <w:name w:val="yxme4"/>
    <w:basedOn w:val="Normal"/>
    <w:rsid w:val="00C032D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muhec">
    <w:name w:val="muhec"/>
    <w:basedOn w:val="Fuentedeprrafopredeter"/>
    <w:rsid w:val="00C032D3"/>
  </w:style>
  <w:style w:type="character" w:styleId="Textoennegrita">
    <w:name w:val="Strong"/>
    <w:basedOn w:val="Fuentedeprrafopredeter"/>
    <w:uiPriority w:val="22"/>
    <w:qFormat/>
    <w:rsid w:val="00C032D3"/>
    <w:rPr>
      <w:b/>
      <w:bCs/>
    </w:rPr>
  </w:style>
  <w:style w:type="paragraph" w:styleId="NormalWeb">
    <w:name w:val="Normal (Web)"/>
    <w:basedOn w:val="Normal"/>
    <w:uiPriority w:val="99"/>
    <w:semiHidden/>
    <w:unhideWhenUsed/>
    <w:rsid w:val="008777F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Sinespaciado">
    <w:name w:val="No Spacing"/>
    <w:uiPriority w:val="1"/>
    <w:qFormat/>
    <w:rsid w:val="006912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23539">
      <w:bodyDiv w:val="1"/>
      <w:marLeft w:val="0"/>
      <w:marRight w:val="0"/>
      <w:marTop w:val="0"/>
      <w:marBottom w:val="0"/>
      <w:divBdr>
        <w:top w:val="none" w:sz="0" w:space="0" w:color="auto"/>
        <w:left w:val="none" w:sz="0" w:space="0" w:color="auto"/>
        <w:bottom w:val="none" w:sz="0" w:space="0" w:color="auto"/>
        <w:right w:val="none" w:sz="0" w:space="0" w:color="auto"/>
      </w:divBdr>
    </w:div>
    <w:div w:id="895167083">
      <w:bodyDiv w:val="1"/>
      <w:marLeft w:val="0"/>
      <w:marRight w:val="0"/>
      <w:marTop w:val="0"/>
      <w:marBottom w:val="0"/>
      <w:divBdr>
        <w:top w:val="none" w:sz="0" w:space="0" w:color="auto"/>
        <w:left w:val="none" w:sz="0" w:space="0" w:color="auto"/>
        <w:bottom w:val="none" w:sz="0" w:space="0" w:color="auto"/>
        <w:right w:val="none" w:sz="0" w:space="0" w:color="auto"/>
      </w:divBdr>
    </w:div>
    <w:div w:id="1213998931">
      <w:bodyDiv w:val="1"/>
      <w:marLeft w:val="0"/>
      <w:marRight w:val="0"/>
      <w:marTop w:val="0"/>
      <w:marBottom w:val="0"/>
      <w:divBdr>
        <w:top w:val="none" w:sz="0" w:space="0" w:color="auto"/>
        <w:left w:val="none" w:sz="0" w:space="0" w:color="auto"/>
        <w:bottom w:val="none" w:sz="0" w:space="0" w:color="auto"/>
        <w:right w:val="none" w:sz="0" w:space="0" w:color="auto"/>
      </w:divBdr>
      <w:divsChild>
        <w:div w:id="673724677">
          <w:marLeft w:val="0"/>
          <w:marRight w:val="0"/>
          <w:marTop w:val="0"/>
          <w:marBottom w:val="0"/>
          <w:divBdr>
            <w:top w:val="none" w:sz="0" w:space="0" w:color="auto"/>
            <w:left w:val="none" w:sz="0" w:space="0" w:color="auto"/>
            <w:bottom w:val="none" w:sz="0" w:space="0" w:color="auto"/>
            <w:right w:val="none" w:sz="0" w:space="0" w:color="auto"/>
          </w:divBdr>
        </w:div>
        <w:div w:id="371420959">
          <w:marLeft w:val="0"/>
          <w:marRight w:val="0"/>
          <w:marTop w:val="0"/>
          <w:marBottom w:val="0"/>
          <w:divBdr>
            <w:top w:val="none" w:sz="0" w:space="0" w:color="auto"/>
            <w:left w:val="none" w:sz="0" w:space="0" w:color="auto"/>
            <w:bottom w:val="none" w:sz="0" w:space="0" w:color="auto"/>
            <w:right w:val="none" w:sz="0" w:space="0" w:color="auto"/>
          </w:divBdr>
        </w:div>
        <w:div w:id="462115421">
          <w:marLeft w:val="0"/>
          <w:marRight w:val="0"/>
          <w:marTop w:val="0"/>
          <w:marBottom w:val="0"/>
          <w:divBdr>
            <w:top w:val="none" w:sz="0" w:space="0" w:color="auto"/>
            <w:left w:val="none" w:sz="0" w:space="0" w:color="auto"/>
            <w:bottom w:val="none" w:sz="0" w:space="0" w:color="auto"/>
            <w:right w:val="none" w:sz="0" w:space="0" w:color="auto"/>
          </w:divBdr>
        </w:div>
      </w:divsChild>
    </w:div>
    <w:div w:id="202404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hart" Target="charts/chart2.xm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Categorías</a:t>
            </a:r>
            <a:r>
              <a:rPr lang="en-US" baseline="0"/>
              <a:t> de tipos de productos de venta</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Tipo de producto</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E6B-4200-85BF-E7CC8F0DF149}"/>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E6B-4200-85BF-E7CC8F0DF149}"/>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E6B-4200-85BF-E7CC8F0DF149}"/>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E6B-4200-85BF-E7CC8F0DF14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Hoja1!$A$2:$A$5</c:f>
              <c:strCache>
                <c:ptCount val="4"/>
                <c:pt idx="0">
                  <c:v>Alimentos y bebidas</c:v>
                </c:pt>
                <c:pt idx="1">
                  <c:v>Cuidado personal y cosméticos</c:v>
                </c:pt>
                <c:pt idx="2">
                  <c:v>Ropa y accesorios</c:v>
                </c:pt>
                <c:pt idx="3">
                  <c:v>Materiales y productos de hogar</c:v>
                </c:pt>
              </c:strCache>
            </c:strRef>
          </c:cat>
          <c:val>
            <c:numRef>
              <c:f>Hoja1!$B$2:$B$5</c:f>
              <c:numCache>
                <c:formatCode>General</c:formatCode>
                <c:ptCount val="4"/>
                <c:pt idx="0">
                  <c:v>591</c:v>
                </c:pt>
                <c:pt idx="1">
                  <c:v>153</c:v>
                </c:pt>
                <c:pt idx="2">
                  <c:v>78</c:v>
                </c:pt>
                <c:pt idx="3">
                  <c:v>163</c:v>
                </c:pt>
              </c:numCache>
            </c:numRef>
          </c:val>
          <c:extLst>
            <c:ext xmlns:c16="http://schemas.microsoft.com/office/drawing/2014/chart" uri="{C3380CC4-5D6E-409C-BE32-E72D297353CC}">
              <c16:uniqueId val="{00000000-4C6E-4C3D-89BD-9B35DDAC8604}"/>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ofPieChart>
        <c:ofPieType val="pie"/>
        <c:varyColors val="1"/>
        <c:ser>
          <c:idx val="0"/>
          <c:order val="0"/>
          <c:tx>
            <c:strRef>
              <c:f>Hoja1!$B$1</c:f>
              <c:strCache>
                <c:ptCount val="1"/>
                <c:pt idx="0">
                  <c:v>Tipo de producto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86-4B82-B1D2-412080279C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86-4B82-B1D2-412080279C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86-4B82-B1D2-412080279C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886-4B82-B1D2-412080279C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886-4B82-B1D2-412080279C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886-4B82-B1D2-412080279C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886-4B82-B1D2-412080279C6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886-4B82-B1D2-412080279C6B}"/>
              </c:ext>
            </c:extLst>
          </c:dPt>
          <c:cat>
            <c:strRef>
              <c:f>Hoja1!$A$2:$A$8</c:f>
              <c:strCache>
                <c:ptCount val="7"/>
                <c:pt idx="1">
                  <c:v>Cuidado personal y cosméticos</c:v>
                </c:pt>
                <c:pt idx="2">
                  <c:v>Ropa y accesorios</c:v>
                </c:pt>
                <c:pt idx="3">
                  <c:v>Materiales y productos de hogar</c:v>
                </c:pt>
                <c:pt idx="4">
                  <c:v>zzzzz</c:v>
                </c:pt>
                <c:pt idx="5">
                  <c:v>yyyyyy</c:v>
                </c:pt>
                <c:pt idx="6">
                  <c:v>yyyyyy</c:v>
                </c:pt>
              </c:strCache>
            </c:strRef>
          </c:cat>
          <c:val>
            <c:numRef>
              <c:f>Hoja1!$B$2:$B$8</c:f>
              <c:numCache>
                <c:formatCode>General</c:formatCode>
                <c:ptCount val="7"/>
                <c:pt idx="1">
                  <c:v>153</c:v>
                </c:pt>
                <c:pt idx="2">
                  <c:v>78</c:v>
                </c:pt>
                <c:pt idx="3">
                  <c:v>163</c:v>
                </c:pt>
                <c:pt idx="4">
                  <c:v>163</c:v>
                </c:pt>
                <c:pt idx="5">
                  <c:v>163</c:v>
                </c:pt>
                <c:pt idx="6">
                  <c:v>163</c:v>
                </c:pt>
              </c:numCache>
            </c:numRef>
          </c:val>
          <c:extLst>
            <c:ext xmlns:c16="http://schemas.microsoft.com/office/drawing/2014/chart" uri="{C3380CC4-5D6E-409C-BE32-E72D297353CC}">
              <c16:uniqueId val="{00000000-7E7B-4008-BBE5-40298B87A263}"/>
            </c:ext>
          </c:extLst>
        </c:ser>
        <c:dLbls>
          <c:showLegendKey val="0"/>
          <c:showVal val="0"/>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1058</Words>
  <Characters>5822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Huilca</dc:creator>
  <cp:keywords/>
  <dc:description/>
  <cp:lastModifiedBy>Fernando Huilca</cp:lastModifiedBy>
  <cp:revision>2</cp:revision>
  <dcterms:created xsi:type="dcterms:W3CDTF">2024-06-07T00:47:00Z</dcterms:created>
  <dcterms:modified xsi:type="dcterms:W3CDTF">2024-06-07T05:20:00Z</dcterms:modified>
</cp:coreProperties>
</file>