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Pesquisa de opções de Hardware para o IOT.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Hardware compatível com CSI recomendado. Presença, sinais vitais, detecção através da parede e todas as capacidades avançadas requerem Informação de Estado do Canal (CSI) de um ESP32-S3 ($9) ou NIC de pesquisa. A imagem Docker roda com dados simulados para avaliação. Laptops WiFi de consumo oferecem detecção de presença apenas por RSSI.</w:t>
      </w:r>
    </w:p>
    <w:p w:rsidR="00000000" w:rsidDel="00000000" w:rsidP="00000000" w:rsidRDefault="00000000" w:rsidRPr="00000000" w14:paraId="00000003">
      <w:pPr>
        <w:spacing w:after="480" w:lineRule="auto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Opções de hardware para captura ao vivo de CSI: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6.5538977439146"/>
        <w:gridCol w:w="2067.8396332533907"/>
        <w:gridCol w:w="1131.2299170150902"/>
        <w:gridCol w:w="1386.6689305346267"/>
        <w:gridCol w:w="1873.219432476601"/>
        <w:tblGridChange w:id="0">
          <w:tblGrid>
            <w:gridCol w:w="2566.5538977439146"/>
            <w:gridCol w:w="2067.8396332533907"/>
            <w:gridCol w:w="1131.2299170150902"/>
            <w:gridCol w:w="1386.6689305346267"/>
            <w:gridCol w:w="1873.219432476601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jc w:val="center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Opção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jc w:val="center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Hardware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jc w:val="center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Custo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jc w:val="center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CSI completo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jc w:val="center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Capacidades</w:t>
            </w:r>
          </w:p>
        </w:tc>
      </w:tr>
      <w:tr>
        <w:trPr>
          <w:cantSplit w:val="0"/>
          <w:trHeight w:val="883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ESP32 + Semente Cognitum (recomendado)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ESP32-S3 + </w:t>
            </w:r>
            <w:hyperlink r:id="rId6">
              <w:r w:rsidDel="00000000" w:rsidR="00000000" w:rsidRPr="00000000">
                <w:rPr>
                  <w:color w:val="0969da"/>
                  <w:sz w:val="24"/>
                  <w:szCs w:val="24"/>
                  <w:u w:val="single"/>
                  <w:rtl w:val="0"/>
                </w:rPr>
                <w:t xml:space="preserve">Semente Cognitum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~$140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Presença, movimento, respiração, frequência cardíaca, detecção de quedas, contagem de múltiplas pessoas, pose de 17 pontos-chave (binário Cog assinado — modelo de primeiro corte no dispositivo, </w:t>
            </w:r>
            <w:hyperlink r:id="rId7">
              <w:r w:rsidDel="00000000" w:rsidR="00000000" w:rsidRPr="00000000">
                <w:rPr>
                  <w:color w:val="0969da"/>
                  <w:sz w:val="24"/>
                  <w:szCs w:val="24"/>
                  <w:u w:val="single"/>
                  <w:rtl w:val="0"/>
                </w:rPr>
                <w:t xml:space="preserve">veja Pesos do modelo: o que é real, o que não é</w:t>
              </w:r>
            </w:hyperlink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), catálogo de 105-cog, armazenamento vetorial persistente, busca kNN, cadeia de testemunhas, proxy MCP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ESP32 Mesh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3-6× ESP32-S3 + roteador WiFi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~$54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Mesmas capacidades de acima, mas sem os recursos de memória persistente</w:t>
            </w:r>
          </w:p>
        </w:tc>
      </w:tr>
      <w:tr>
        <w:trPr>
          <w:cantSplit w:val="0"/>
          <w:trHeight w:val="435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Nó de pesquisa ESP32-C6 (</w:t>
            </w:r>
            <w:hyperlink r:id="rId8">
              <w:r w:rsidDel="00000000" w:rsidR="00000000" w:rsidRPr="00000000">
                <w:rPr>
                  <w:color w:val="0969da"/>
                  <w:sz w:val="24"/>
                  <w:szCs w:val="24"/>
                  <w:u w:val="single"/>
                  <w:rtl w:val="0"/>
                </w:rPr>
                <w:t xml:space="preserve">ADR-110</w:t>
              </w:r>
            </w:hyperlink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, </w:t>
            </w:r>
            <w:hyperlink r:id="rId9">
              <w:r w:rsidDel="00000000" w:rsidR="00000000" w:rsidRPr="00000000">
                <w:rPr>
                  <w:color w:val="0969da"/>
                  <w:sz w:val="24"/>
                  <w:szCs w:val="24"/>
                  <w:u w:val="single"/>
                  <w:rtl w:val="0"/>
                </w:rPr>
                <w:t xml:space="preserve">testemunha</w:t>
              </w:r>
            </w:hyperlink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, </w:t>
            </w:r>
            <w:hyperlink r:id="rId10">
              <w:r w:rsidDel="00000000" w:rsidR="00000000" w:rsidRPr="00000000">
                <w:rPr>
                  <w:color w:val="0969da"/>
                  <w:sz w:val="24"/>
                  <w:szCs w:val="24"/>
                  <w:u w:val="single"/>
                  <w:rtl w:val="0"/>
                </w:rPr>
                <w:t xml:space="preserve">guia para revisores</w:t>
              </w:r>
            </w:hyperlink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, </w:t>
            </w:r>
            <w:hyperlink r:id="rId11">
              <w:r w:rsidDel="00000000" w:rsidR="00000000" w:rsidRPr="00000000">
                <w:rPr>
                  <w:color w:val="0969da"/>
                  <w:sz w:val="24"/>
                  <w:szCs w:val="24"/>
                  <w:u w:val="single"/>
                  <w:rtl w:val="0"/>
                </w:rPr>
                <w:t xml:space="preserve">firmware v0.7.0</w:t>
              </w:r>
            </w:hyperlink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ESP32-C6-DevKit ($6–10)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~$10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Sim (compatível com Wi-Fi 6)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CSI de alvo duplo com 99,56% de correspondência de sincronização ESP-NOW medida e captura HE-LTF medida no IDF 5.5.2. TWT e operação de ~5 μA ainda precisam de validação por hardware.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NIC de pesquisa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Intel 5300 / Atheros AR9580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~$50-100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CSI completo com MIMO 3x3</w:t>
            </w:r>
          </w:p>
        </w:tc>
      </w:tr>
      <w:tr>
        <w:trPr>
          <w:cantSplit w:val="0"/>
          <w:trHeight w:val="370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Qualcomm CSI beta (</w:t>
            </w:r>
            <w:hyperlink r:id="rId12">
              <w:r w:rsidDel="00000000" w:rsidR="00000000" w:rsidRPr="00000000">
                <w:rPr>
                  <w:color w:val="0969da"/>
                  <w:sz w:val="24"/>
                  <w:szCs w:val="24"/>
                  <w:u w:val="single"/>
                  <w:rtl w:val="0"/>
                </w:rPr>
                <w:t xml:space="preserve">ADR-268</w:t>
              </w:r>
            </w:hyperlink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QCA9300 agora; QCN9074/QCN9274 experimental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~$30-200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Simulador agora; Adaptador de hardware com gate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Codec Rust, replay determinístico, integração UDP/API; perfis modernos de ath11k/ath12k não reivindicam exportação pública de CSI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rtl w:val="0"/>
              </w:rPr>
              <w:t xml:space="preserve">QCS1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0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Provedor fornecedor beta (</w:t>
            </w:r>
            <w:hyperlink r:id="rId13">
              <w:r w:rsidDel="00000000" w:rsidR="00000000" w:rsidRPr="00000000">
                <w:rPr>
                  <w:color w:val="0969da"/>
                  <w:sz w:val="24"/>
                  <w:szCs w:val="24"/>
                  <w:u w:val="single"/>
                  <w:rtl w:val="0"/>
                </w:rPr>
                <w:t xml:space="preserve">ADR-270</w:t>
              </w:r>
            </w:hyperlink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Origin, Plume, Mist, NETGEAR, Electric Imp, RF Solutions, Luma, Nest, Linksys, Wifigarden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Variações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Dependente da capacidade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Adaptadores Bounded Rust e fixtures determinísticos; estados de telemetria/apenas de rede/não suportados não podem se passar por CSI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Qualquer WiFi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Notebook Windows, macOS ou Linux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tcBorders>
              <w:top w:color="d1d9e0" w:space="0" w:sz="4" w:val="single"/>
              <w:left w:color="d1d9e0" w:space="0" w:sz="4" w:val="single"/>
              <w:bottom w:color="d1d9e0" w:space="0" w:sz="4" w:val="single"/>
              <w:right w:color="d1d9e0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59636e"/>
                <w:sz w:val="24"/>
                <w:szCs w:val="24"/>
              </w:rPr>
            </w:pPr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Apenas RSSI: presença grosseira e movimento (veja </w:t>
            </w:r>
            <w:hyperlink r:id="rId14">
              <w:r w:rsidDel="00000000" w:rsidR="00000000" w:rsidRPr="00000000">
                <w:rPr>
                  <w:color w:val="0969da"/>
                  <w:sz w:val="24"/>
                  <w:szCs w:val="24"/>
                  <w:u w:val="single"/>
                  <w:rtl w:val="0"/>
                </w:rPr>
                <w:t xml:space="preserve">tutorial #36</w:t>
              </w:r>
            </w:hyperlink>
            <w:r w:rsidDel="00000000" w:rsidR="00000000" w:rsidRPr="00000000">
              <w:rPr>
                <w:color w:val="59636e"/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ruvnet/RuView/releases/tag/v0.7.0-esp32" TargetMode="External"/><Relationship Id="rId10" Type="http://schemas.openxmlformats.org/officeDocument/2006/relationships/hyperlink" Target="https://github.com/ruvnet/RuView/blob/main/docs/ADR-110-REVIEW-GUIDE.md" TargetMode="External"/><Relationship Id="rId13" Type="http://schemas.openxmlformats.org/officeDocument/2006/relationships/hyperlink" Target="https://github.com/ruvnet/RuView/blob/main/docs/adr/ADR-270-vendor-rf-sensing-integration-program.md" TargetMode="External"/><Relationship Id="rId12" Type="http://schemas.openxmlformats.org/officeDocument/2006/relationships/hyperlink" Target="https://github.com/ruvnet/RuView/blob/main/docs/adr/ADR-268-qualcomm-atheros-csi-platform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uvnet/RuView/blob/main/docs/WITNESS-LOG-110.md" TargetMode="External"/><Relationship Id="rId14" Type="http://schemas.openxmlformats.org/officeDocument/2006/relationships/hyperlink" Target="https://github.com/ruvnet/RuView/issues/36" TargetMode="External"/><Relationship Id="rId5" Type="http://schemas.openxmlformats.org/officeDocument/2006/relationships/styles" Target="styles.xml"/><Relationship Id="rId6" Type="http://schemas.openxmlformats.org/officeDocument/2006/relationships/hyperlink" Target="https://cognitum.one/" TargetMode="External"/><Relationship Id="rId7" Type="http://schemas.openxmlformats.org/officeDocument/2006/relationships/hyperlink" Target="https://github.com/ruvnet/RuView/blob/main/README.md#model-weights-whats-real-whats-not" TargetMode="External"/><Relationship Id="rId8" Type="http://schemas.openxmlformats.org/officeDocument/2006/relationships/hyperlink" Target="https://github.com/ruvnet/RuView/blob/main/docs/adr/ADR-110-esp32-c6-firmware-extensi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