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Infográfico passo a passo com diferentes possibilidades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line="276" w:lineRule="auto"/>
        <w:jc w:val="both"/>
        <w:rPr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Objetivo dos infográficos: </w:t>
      </w:r>
      <w:r w:rsidDel="00000000" w:rsidR="00000000" w:rsidRPr="00000000">
        <w:rPr>
          <w:color w:val="222222"/>
          <w:rtl w:val="0"/>
        </w:rPr>
        <w:t xml:space="preserve">demonstrar que a solução para uma necessidade de programação pode ser resolvida de diferentes maneiras, chegando ao mesmo resultado.</w:t>
      </w:r>
    </w:p>
    <w:p w:rsidR="00000000" w:rsidDel="00000000" w:rsidP="00000000" w:rsidRDefault="00000000" w:rsidRPr="00000000" w14:paraId="00000004">
      <w:pPr>
        <w:shd w:fill="ffffff" w:val="clear"/>
        <w:spacing w:line="276" w:lineRule="auto"/>
        <w:jc w:val="both"/>
        <w:rPr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Objetivo do conteúdo: </w:t>
      </w:r>
      <w:r w:rsidDel="00000000" w:rsidR="00000000" w:rsidRPr="00000000">
        <w:rPr>
          <w:color w:val="222222"/>
          <w:rtl w:val="0"/>
        </w:rPr>
        <w:t xml:space="preserve">resumir as etapas necessárias para trabalhar com git</w:t>
      </w:r>
    </w:p>
    <w:p w:rsidR="00000000" w:rsidDel="00000000" w:rsidP="00000000" w:rsidRDefault="00000000" w:rsidRPr="00000000" w14:paraId="00000005">
      <w:pPr>
        <w:shd w:fill="ffffff" w:val="clear"/>
        <w:spacing w:line="276" w:lineRule="auto"/>
        <w:jc w:val="both"/>
        <w:rPr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Conceito de diagrama: </w:t>
      </w:r>
      <w:r w:rsidDel="00000000" w:rsidR="00000000" w:rsidRPr="00000000">
        <w:rPr>
          <w:color w:val="222222"/>
          <w:rtl w:val="0"/>
        </w:rPr>
        <w:t xml:space="preserve">deve conter um ponto inicial (o problema) e um ponto final (o resultado alcançado) que pode ser alcançado por caminhos paralelos</w:t>
      </w:r>
    </w:p>
    <w:p w:rsidR="00000000" w:rsidDel="00000000" w:rsidP="00000000" w:rsidRDefault="00000000" w:rsidRPr="00000000" w14:paraId="00000006">
      <w:pPr>
        <w:shd w:fill="ffffff" w:val="clear"/>
        <w:spacing w:line="276" w:lineRule="auto"/>
        <w:jc w:val="both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line="276" w:lineRule="auto"/>
        <w:jc w:val="both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Exemplo:</w:t>
      </w:r>
    </w:p>
    <w:p w:rsidR="00000000" w:rsidDel="00000000" w:rsidP="00000000" w:rsidRDefault="00000000" w:rsidRPr="00000000" w14:paraId="00000008">
      <w:pPr>
        <w:shd w:fill="ffffff" w:val="clear"/>
        <w:spacing w:line="276" w:lineRule="auto"/>
        <w:jc w:val="both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731200" cy="2578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line="276" w:lineRule="auto"/>
        <w:jc w:val="both"/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Conceito estético/indicações de funcionamento: </w:t>
      </w:r>
      <w:r w:rsidDel="00000000" w:rsidR="00000000" w:rsidRPr="00000000">
        <w:rPr>
          <w:color w:val="222222"/>
          <w:highlight w:val="white"/>
          <w:rtl w:val="0"/>
        </w:rPr>
        <w:t xml:space="preserve">O infográfico visa imitar o esquema do mapa das linhas do metrô, cada estrada / caminho deve ter as mesmas características (tamanho, desenho) dos demais, o único elemento que os diferencia é a cor da via. Cada rota possui um elemento interativo (ou mais de um de acordo com o que o editor de conteúdo indica) que aciona uma interação (pode ser do tipo janela ou outro slide sem controles de navegação - avalie a quantidade de conteúdo que será colocado nele)</w:t>
      </w:r>
    </w:p>
    <w:p w:rsidR="00000000" w:rsidDel="00000000" w:rsidP="00000000" w:rsidRDefault="00000000" w:rsidRPr="00000000" w14:paraId="0000000A">
      <w:pPr>
        <w:shd w:fill="ffffff" w:val="clear"/>
        <w:spacing w:line="276" w:lineRule="auto"/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line="276" w:lineRule="auto"/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731200" cy="4127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line="276" w:lineRule="auto"/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line="276" w:lineRule="auto"/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Conteúdo: </w:t>
      </w:r>
    </w:p>
    <w:p w:rsidR="00000000" w:rsidDel="00000000" w:rsidP="00000000" w:rsidRDefault="00000000" w:rsidRPr="00000000" w14:paraId="0000000E">
      <w:pPr>
        <w:shd w:fill="ffffff" w:val="clear"/>
        <w:spacing w:line="276" w:lineRule="auto"/>
        <w:jc w:val="both"/>
        <w:rPr>
          <w:b w:val="1"/>
          <w:color w:val="222222"/>
          <w:highlight w:val="white"/>
        </w:rPr>
      </w:pPr>
      <w:hyperlink r:id="rId8">
        <w:r w:rsidDel="00000000" w:rsidR="00000000" w:rsidRPr="00000000">
          <w:rPr>
            <w:b w:val="1"/>
            <w:color w:val="1155cc"/>
            <w:highlight w:val="white"/>
            <w:u w:val="single"/>
            <w:rtl w:val="0"/>
          </w:rPr>
          <w:t xml:space="preserve">https://docs.google.com/presentation/d/1H87urUvraP0xfEbClMaAANzdRP-GL5oX6qbw6rFgeB0/edit?usp=sharing</w:t>
        </w:r>
      </w:hyperlink>
      <w:r w:rsidDel="00000000" w:rsidR="00000000" w:rsidRPr="00000000">
        <w:rPr>
          <w:b w:val="1"/>
          <w:color w:val="22222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hd w:fill="ffffff" w:val="clear"/>
        <w:spacing w:line="276" w:lineRule="auto"/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line="276" w:lineRule="auto"/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São cinco caminhos (cada um com sua cor):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hd w:fill="ffffff" w:val="clear"/>
        <w:spacing w:line="276" w:lineRule="auto"/>
        <w:ind w:left="720" w:hanging="360"/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Criar repositório local: </w:t>
      </w:r>
      <w:r w:rsidDel="00000000" w:rsidR="00000000" w:rsidRPr="00000000">
        <w:rPr>
          <w:color w:val="222222"/>
          <w:highlight w:val="white"/>
          <w:rtl w:val="0"/>
        </w:rPr>
        <w:t xml:space="preserve">as etapas (estações) são cada uma das indicadas no slide 5. Termina em git add.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hd w:fill="ffffff" w:val="clear"/>
        <w:spacing w:line="276" w:lineRule="auto"/>
        <w:ind w:left="720" w:hanging="360"/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Crie o repositório a partir do GitHub: </w:t>
      </w:r>
      <w:r w:rsidDel="00000000" w:rsidR="00000000" w:rsidRPr="00000000">
        <w:rPr>
          <w:color w:val="222222"/>
          <w:highlight w:val="white"/>
          <w:rtl w:val="0"/>
        </w:rPr>
        <w:t xml:space="preserve">as etapas (estações) são cada uma das indicadas nos slides 9, 10 e 11. Termina em git add.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hd w:fill="ffffff" w:val="clear"/>
        <w:spacing w:line="276" w:lineRule="auto"/>
        <w:ind w:left="720" w:hanging="360"/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Aceite o convite para um repositório: </w:t>
      </w:r>
      <w:r w:rsidDel="00000000" w:rsidR="00000000" w:rsidRPr="00000000">
        <w:rPr>
          <w:color w:val="222222"/>
          <w:highlight w:val="white"/>
          <w:rtl w:val="0"/>
        </w:rPr>
        <w:t xml:space="preserve">as etapas (estações) são aquelas indicadas nos slides 13 e 14. Conclua em git add.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hd w:fill="ffffff" w:val="clear"/>
        <w:spacing w:line="276" w:lineRule="auto"/>
        <w:ind w:left="720" w:hanging="360"/>
        <w:jc w:val="both"/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Mudanças próprias: </w:t>
      </w:r>
      <w:r w:rsidDel="00000000" w:rsidR="00000000" w:rsidRPr="00000000">
        <w:rPr>
          <w:color w:val="222222"/>
          <w:highlight w:val="white"/>
          <w:rtl w:val="0"/>
        </w:rPr>
        <w:t xml:space="preserve">os passos (estações) são os comandos do slide 6. Comece no git add.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hd w:fill="ffffff" w:val="clear"/>
        <w:spacing w:line="276" w:lineRule="auto"/>
        <w:ind w:left="720" w:hanging="360"/>
        <w:jc w:val="both"/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Outras mudanças: </w:t>
      </w:r>
      <w:r w:rsidDel="00000000" w:rsidR="00000000" w:rsidRPr="00000000">
        <w:rPr>
          <w:color w:val="222222"/>
          <w:highlight w:val="white"/>
          <w:rtl w:val="0"/>
        </w:rPr>
        <w:t xml:space="preserve">as etapas (estações) são as seguintes: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hd w:fill="ffffff" w:val="clear"/>
        <w:spacing w:line="276" w:lineRule="auto"/>
        <w:ind w:left="1440" w:hanging="360"/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git add (aquele que conecta todas as estradas)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hd w:fill="ffffff" w:val="clear"/>
        <w:spacing w:line="276" w:lineRule="auto"/>
        <w:ind w:left="1440" w:hanging="360"/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git pull (slide 7 da apresentação)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hd w:fill="ffffff" w:val="clear"/>
        <w:spacing w:line="276" w:lineRule="auto"/>
        <w:ind w:left="1440" w:hanging="360"/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git add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hd w:fill="ffffff" w:val="clear"/>
        <w:spacing w:line="276" w:lineRule="auto"/>
        <w:ind w:left="1440" w:hanging="360"/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git commit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hd w:fill="ffffff" w:val="clear"/>
        <w:spacing w:line="276" w:lineRule="auto"/>
        <w:ind w:left="1440" w:hanging="360"/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git push</w:t>
      </w:r>
    </w:p>
    <w:p w:rsidR="00000000" w:rsidDel="00000000" w:rsidP="00000000" w:rsidRDefault="00000000" w:rsidRPr="00000000" w14:paraId="0000001B">
      <w:pPr>
        <w:shd w:fill="ffffff" w:val="clear"/>
        <w:spacing w:line="276" w:lineRule="auto"/>
        <w:ind w:left="-1133.8582677165355" w:firstLine="0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</w:rPr>
        <w:drawing>
          <wp:inline distB="114300" distT="114300" distL="114300" distR="114300">
            <wp:extent cx="5734050" cy="6938962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4050" cy="6938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line="276" w:lineRule="auto"/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line="276" w:lineRule="auto"/>
        <w:jc w:val="both"/>
        <w:rPr>
          <w:b w:val="1"/>
          <w:color w:val="222222"/>
          <w:shd w:fill="ff9900" w:val="clear"/>
        </w:rPr>
      </w:pPr>
      <w:r w:rsidDel="00000000" w:rsidR="00000000" w:rsidRPr="00000000">
        <w:rPr>
          <w:b w:val="1"/>
          <w:color w:val="222222"/>
          <w:shd w:fill="ff9900" w:val="clear"/>
          <w:rtl w:val="0"/>
        </w:rPr>
        <w:t xml:space="preserve">Tradução:</w:t>
      </w:r>
    </w:p>
    <w:p w:rsidR="00000000" w:rsidDel="00000000" w:rsidP="00000000" w:rsidRDefault="00000000" w:rsidRPr="00000000" w14:paraId="0000001E">
      <w:pPr>
        <w:shd w:fill="ffffff" w:val="clear"/>
        <w:spacing w:line="276" w:lineRule="auto"/>
        <w:jc w:val="both"/>
        <w:rPr>
          <w:b w:val="1"/>
          <w:color w:val="222222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line="276" w:lineRule="auto"/>
        <w:jc w:val="both"/>
        <w:rPr>
          <w:color w:val="222222"/>
          <w:shd w:fill="ff9900" w:val="clear"/>
        </w:rPr>
      </w:pPr>
      <w:r w:rsidDel="00000000" w:rsidR="00000000" w:rsidRPr="00000000">
        <w:rPr>
          <w:b w:val="1"/>
          <w:color w:val="222222"/>
          <w:shd w:fill="ff9900" w:val="clear"/>
          <w:rtl w:val="0"/>
        </w:rPr>
        <w:t xml:space="preserve">Creación Repo</w:t>
      </w:r>
      <w:r w:rsidDel="00000000" w:rsidR="00000000" w:rsidRPr="00000000">
        <w:rPr>
          <w:color w:val="222222"/>
          <w:shd w:fill="ff9900" w:val="clear"/>
          <w:rtl w:val="0"/>
        </w:rPr>
        <w:t xml:space="preserve"> - traduzir para “Criação do Repositório”</w:t>
      </w:r>
    </w:p>
    <w:p w:rsidR="00000000" w:rsidDel="00000000" w:rsidP="00000000" w:rsidRDefault="00000000" w:rsidRPr="00000000" w14:paraId="00000020">
      <w:pPr>
        <w:shd w:fill="ffffff" w:val="clear"/>
        <w:spacing w:line="276" w:lineRule="auto"/>
        <w:jc w:val="both"/>
        <w:rPr>
          <w:color w:val="222222"/>
          <w:shd w:fill="ff9900" w:val="clear"/>
        </w:rPr>
      </w:pPr>
      <w:r w:rsidDel="00000000" w:rsidR="00000000" w:rsidRPr="00000000">
        <w:rPr>
          <w:b w:val="1"/>
          <w:color w:val="222222"/>
          <w:shd w:fill="ff9900" w:val="clear"/>
          <w:rtl w:val="0"/>
        </w:rPr>
        <w:t xml:space="preserve">Cambios propios</w:t>
      </w:r>
      <w:r w:rsidDel="00000000" w:rsidR="00000000" w:rsidRPr="00000000">
        <w:rPr>
          <w:color w:val="222222"/>
          <w:shd w:fill="ff9900" w:val="clear"/>
          <w:rtl w:val="0"/>
        </w:rPr>
        <w:t xml:space="preserve"> - traduzir para: “Alterações Próprias”</w:t>
      </w:r>
    </w:p>
    <w:p w:rsidR="00000000" w:rsidDel="00000000" w:rsidP="00000000" w:rsidRDefault="00000000" w:rsidRPr="00000000" w14:paraId="00000021">
      <w:pPr>
        <w:shd w:fill="ffffff" w:val="clear"/>
        <w:spacing w:line="276" w:lineRule="auto"/>
        <w:jc w:val="both"/>
        <w:rPr>
          <w:color w:val="222222"/>
          <w:shd w:fill="ff9900" w:val="clear"/>
        </w:rPr>
      </w:pPr>
      <w:r w:rsidDel="00000000" w:rsidR="00000000" w:rsidRPr="00000000">
        <w:rPr>
          <w:b w:val="1"/>
          <w:color w:val="222222"/>
          <w:shd w:fill="ff9900" w:val="clear"/>
          <w:rtl w:val="0"/>
        </w:rPr>
        <w:t xml:space="preserve">Cambios de otres</w:t>
      </w:r>
      <w:r w:rsidDel="00000000" w:rsidR="00000000" w:rsidRPr="00000000">
        <w:rPr>
          <w:color w:val="222222"/>
          <w:shd w:fill="ff9900" w:val="clear"/>
          <w:rtl w:val="0"/>
        </w:rPr>
        <w:t xml:space="preserve"> - traduzir para: “Alterações de outros colaboradores”</w:t>
      </w:r>
    </w:p>
    <w:p w:rsidR="00000000" w:rsidDel="00000000" w:rsidP="00000000" w:rsidRDefault="00000000" w:rsidRPr="00000000" w14:paraId="00000022">
      <w:pPr>
        <w:shd w:fill="ffffff" w:val="clear"/>
        <w:spacing w:line="276" w:lineRule="auto"/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line="276" w:lineRule="auto"/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Outras referências: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76" w:lineRule="auto"/>
        <w:ind w:left="720" w:hanging="360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  <w:t xml:space="preserve">Sites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line="276" w:lineRule="auto"/>
        <w:ind w:left="1440" w:hanging="360"/>
        <w:rPr>
          <w:b w:val="1"/>
          <w:color w:val="222222"/>
          <w:highlight w:val="whit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https://learngitbranching.js.org/?locale=pt_BR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line="276" w:lineRule="auto"/>
        <w:ind w:left="1440" w:hanging="360"/>
        <w:rPr>
          <w:b w:val="1"/>
          <w:color w:val="222222"/>
          <w:highlight w:val="whit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https://gitexplorer.com/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276" w:lineRule="auto"/>
        <w:ind w:left="720" w:hanging="360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  <w:t xml:space="preserve">Sites úteis para revisar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line="276" w:lineRule="auto"/>
        <w:ind w:left="1440" w:hanging="360"/>
        <w:rPr>
          <w:b w:val="1"/>
          <w:color w:val="222222"/>
          <w:highlight w:val="whit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https://learndigital.withgoogle.com/digitalgarage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line="276" w:lineRule="auto"/>
        <w:ind w:left="1440" w:hanging="360"/>
        <w:rPr>
          <w:b w:val="1"/>
          <w:color w:val="222222"/>
          <w:highlight w:val="whit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https://wordwall.net/create/picktemplate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line="276" w:lineRule="auto"/>
        <w:ind w:left="1440" w:hanging="360"/>
        <w:rPr>
          <w:b w:val="1"/>
          <w:color w:val="222222"/>
          <w:highlight w:val="whit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https://wordwall.net/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explorer.com/" TargetMode="External"/><Relationship Id="rId10" Type="http://schemas.openxmlformats.org/officeDocument/2006/relationships/hyperlink" Target="https://learngitbranching.js.org/?locale=pt_BR" TargetMode="External"/><Relationship Id="rId13" Type="http://schemas.openxmlformats.org/officeDocument/2006/relationships/hyperlink" Target="https://wordwall.net/create/picktemplate" TargetMode="External"/><Relationship Id="rId12" Type="http://schemas.openxmlformats.org/officeDocument/2006/relationships/hyperlink" Target="https://learndigital.withgoogle.com/digitalgarag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4" Type="http://schemas.openxmlformats.org/officeDocument/2006/relationships/hyperlink" Target="https://wordwall.net/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docs.google.com/presentation/d/1H87urUvraP0xfEbClMaAANzdRP-GL5oX6qbw6rFgeB0/edi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