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AutoVision</w:t>
      </w:r>
    </w:p>
    <w:p>
      <w:pPr>
        <w:pStyle w:val="Subtitle"/>
      </w:pPr>
      <w:r>
        <w:t>DOCUMENTO 05 · ARQUITETURA DO SISTEMA</w:t>
      </w:r>
    </w:p>
    <w:p>
      <w:r>
        <w:t>Sistema de Visualização e Personalização Automóvel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AV-DOC-005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 — proposta para revisão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21/10/2026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Arquitetura inicial</w:t>
            </w:r>
          </w:p>
        </w:tc>
      </w:tr>
      <w:tr>
        <w:tc>
          <w:tcPr>
            <w:tcW w:type="dxa" w:w="4320"/>
          </w:tcPr>
          <w:p>
            <w:r>
              <w:t>Âmbito</w:t>
            </w:r>
          </w:p>
        </w:tc>
        <w:tc>
          <w:tcPr>
            <w:tcW w:type="dxa" w:w="4320"/>
          </w:tcPr>
          <w:p>
            <w:r>
              <w:t>Simulação visual; sem gestão de preços, vendas ou orçamentos</w:t>
            </w:r>
          </w:p>
        </w:tc>
      </w:tr>
    </w:tbl>
    <w:p>
      <w:r>
        <w:t>Objetivo: descrever a estrutura lógica, os componentes, os fluxos de dados, as decisões técnicas e a estratégia de evolução do AutoVision.</w:t>
      </w:r>
    </w:p>
    <w:p>
      <w:pPr>
        <w:pStyle w:val="Heading1"/>
      </w:pPr>
      <w:r>
        <w:t>1. Contexto e princípios</w:t>
      </w:r>
    </w:p>
    <w:p>
      <w:r>
        <w:t>O AutoVision permite personalizar imagens enviadas por clientes e veículos de catálogo. O núcleo funcional gere utilizadores, veículos, acessórios e projetos; o motor visual processa imagens e produz pré-visualizações.</w:t>
      </w:r>
    </w:p>
    <w:p>
      <w:r>
        <w:t>Princípios: modularidade, separação entre domínio e processamento visual, privacidade por defeito, tarefas assíncronas, portabilidade de armazenamento, observabilidade e evolução incremental.</w:t>
      </w:r>
    </w:p>
    <w:p>
      <w:pPr>
        <w:pStyle w:val="Heading1"/>
      </w:pPr>
      <w:r>
        <w:t>2. Vista geral da arquitetura</w:t>
      </w:r>
    </w:p>
    <w:p>
      <w:r>
        <w:drawing>
          <wp:inline xmlns:a="http://schemas.openxmlformats.org/drawingml/2006/main" xmlns:pic="http://schemas.openxmlformats.org/drawingml/2006/picture">
            <wp:extent cx="6080760" cy="3602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Vision_Diagrama_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0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— Componentes lógicos e comunicação. As setas representam fluxos bidirecionais ou trocas de pedidos/respostas; o processamento pesado é iniciado por tarefas assíncronas.</w:t>
      </w:r>
    </w:p>
    <w:p>
      <w:pPr>
        <w:pStyle w:val="Heading1"/>
      </w:pPr>
      <w:r>
        <w:t>3. Componentes e responsabilidades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</w:tr>
      <w:tr>
        <w:tc>
          <w:tcPr>
            <w:tcW w:type="dxa" w:w="2880"/>
          </w:tcPr>
          <w:p>
            <w:r>
              <w:t>Cliente web</w:t>
            </w:r>
          </w:p>
        </w:tc>
        <w:tc>
          <w:tcPr>
            <w:tcW w:type="dxa" w:w="2880"/>
          </w:tcPr>
          <w:p>
            <w:r>
              <w:t>Angular + Angular Material</w:t>
            </w:r>
          </w:p>
        </w:tc>
        <w:tc>
          <w:tcPr>
            <w:tcW w:type="dxa" w:w="2880"/>
          </w:tcPr>
          <w:p>
            <w:r>
              <w:t>Catálogo, autenticação, upload, editor e comparação.</w:t>
            </w:r>
          </w:p>
        </w:tc>
      </w:tr>
      <w:tr>
        <w:tc>
          <w:tcPr>
            <w:tcW w:type="dxa" w:w="2880"/>
          </w:tcPr>
          <w:p>
            <w:r>
              <w:t>Editor 2D</w:t>
            </w:r>
          </w:p>
        </w:tc>
        <w:tc>
          <w:tcPr>
            <w:tcW w:type="dxa" w:w="2880"/>
          </w:tcPr>
          <w:p>
            <w:r>
              <w:t>Canvas / Konva.js</w:t>
            </w:r>
          </w:p>
        </w:tc>
        <w:tc>
          <w:tcPr>
            <w:tcW w:type="dxa" w:w="2880"/>
          </w:tcPr>
          <w:p>
            <w:r>
              <w:t>Sobreposição, transformação e correção manual das jantes.</w:t>
            </w:r>
          </w:p>
        </w:tc>
      </w:tr>
      <w:tr>
        <w:tc>
          <w:tcPr>
            <w:tcW w:type="dxa" w:w="2880"/>
          </w:tcPr>
          <w:p>
            <w:r>
              <w:t>API de negócio</w:t>
            </w:r>
          </w:p>
        </w:tc>
        <w:tc>
          <w:tcPr>
            <w:tcW w:type="dxa" w:w="2880"/>
          </w:tcPr>
          <w:p>
            <w:r>
              <w:t>Java 21 + Spring Boot</w:t>
            </w:r>
          </w:p>
        </w:tc>
        <w:tc>
          <w:tcPr>
            <w:tcW w:type="dxa" w:w="2880"/>
          </w:tcPr>
          <w:p>
            <w:r>
              <w:t>Validação, permissões, catálogos, projetos e tarefas.</w:t>
            </w:r>
          </w:p>
        </w:tc>
      </w:tr>
      <w:tr>
        <w:tc>
          <w:tcPr>
            <w:tcW w:type="dxa" w:w="2880"/>
          </w:tcPr>
          <w:p>
            <w:r>
              <w:t>Dados estruturados</w:t>
            </w:r>
          </w:p>
        </w:tc>
        <w:tc>
          <w:tcPr>
            <w:tcW w:type="dxa" w:w="2880"/>
          </w:tcPr>
          <w:p>
            <w:r>
              <w:t>PostgreSQL + Flyway</w:t>
            </w:r>
          </w:p>
        </w:tc>
        <w:tc>
          <w:tcPr>
            <w:tcW w:type="dxa" w:w="2880"/>
          </w:tcPr>
          <w:p>
            <w:r>
              <w:t>Entidades e metadados transacionais.</w:t>
            </w:r>
          </w:p>
        </w:tc>
      </w:tr>
      <w:tr>
        <w:tc>
          <w:tcPr>
            <w:tcW w:type="dxa" w:w="2880"/>
          </w:tcPr>
          <w:p>
            <w:r>
              <w:t>Armazenamento de objetos</w:t>
            </w:r>
          </w:p>
        </w:tc>
        <w:tc>
          <w:tcPr>
            <w:tcW w:type="dxa" w:w="2880"/>
          </w:tcPr>
          <w:p>
            <w:r>
              <w:t>S3 compatível</w:t>
            </w:r>
          </w:p>
        </w:tc>
        <w:tc>
          <w:tcPr>
            <w:tcW w:type="dxa" w:w="2880"/>
          </w:tcPr>
          <w:p>
            <w:r>
              <w:t>Fotografias originais, máscaras, PNG e resultados.</w:t>
            </w:r>
          </w:p>
        </w:tc>
      </w:tr>
      <w:tr>
        <w:tc>
          <w:tcPr>
            <w:tcW w:type="dxa" w:w="2880"/>
          </w:tcPr>
          <w:p>
            <w:r>
              <w:t>Fila e workers</w:t>
            </w:r>
          </w:p>
        </w:tc>
        <w:tc>
          <w:tcPr>
            <w:tcW w:type="dxa" w:w="2880"/>
          </w:tcPr>
          <w:p>
            <w:r>
              <w:t>Redis + worker</w:t>
            </w:r>
          </w:p>
        </w:tc>
        <w:tc>
          <w:tcPr>
            <w:tcW w:type="dxa" w:w="2880"/>
          </w:tcPr>
          <w:p>
            <w:r>
              <w:t>Processamento assíncrono, repetição e estado.</w:t>
            </w:r>
          </w:p>
        </w:tc>
      </w:tr>
      <w:tr>
        <w:tc>
          <w:tcPr>
            <w:tcW w:type="dxa" w:w="2880"/>
          </w:tcPr>
          <w:p>
            <w:r>
              <w:t>Serviço de visão</w:t>
            </w:r>
          </w:p>
        </w:tc>
        <w:tc>
          <w:tcPr>
            <w:tcW w:type="dxa" w:w="2880"/>
          </w:tcPr>
          <w:p>
            <w:r>
              <w:t>Python + FastAPI + OpenCV</w:t>
            </w:r>
          </w:p>
        </w:tc>
        <w:tc>
          <w:tcPr>
            <w:tcW w:type="dxa" w:w="2880"/>
          </w:tcPr>
          <w:p>
            <w:r>
              <w:t>Deteção, segmentação e composição de imagens.</w:t>
            </w:r>
          </w:p>
        </w:tc>
      </w:tr>
      <w:tr>
        <w:tc>
          <w:tcPr>
            <w:tcW w:type="dxa" w:w="2880"/>
          </w:tcPr>
          <w:p>
            <w:r>
              <w:t>3D (fase futura)</w:t>
            </w:r>
          </w:p>
        </w:tc>
        <w:tc>
          <w:tcPr>
            <w:tcW w:type="dxa" w:w="2880"/>
          </w:tcPr>
          <w:p>
            <w:r>
              <w:t>Three.js</w:t>
            </w:r>
          </w:p>
        </w:tc>
        <w:tc>
          <w:tcPr>
            <w:tcW w:type="dxa" w:w="2880"/>
          </w:tcPr>
          <w:p>
            <w:r>
              <w:t>Visualização de modelos GLB/GLTF preparados.</w:t>
            </w:r>
          </w:p>
        </w:tc>
      </w:tr>
    </w:tbl>
    <w:p>
      <w:pPr>
        <w:pStyle w:val="Heading1"/>
      </w:pPr>
      <w:r>
        <w:t>4. Organização do backend</w:t>
      </w:r>
    </w:p>
    <w:p>
      <w:r>
        <w:t>Adotar monólito modular em Spring Boot, com módulos auth, users, vehicles, accessories, compatibility, projects, assets, rendering e administration. Cada módulo expõe controllers, application services, domain models e repositories, evitando dependências circulares.</w:t>
      </w:r>
    </w:p>
    <w:p>
      <w:r>
        <w:t>O serviço Python é um processo separado, comunicado por mensagens/tarefas e por APIs internas autenticadas. Não deve aceder diretamente às tabelas de negócio; recebe identificadores e referências temporárias aos objetos necessários.</w:t>
      </w:r>
    </w:p>
    <w:p>
      <w:pPr>
        <w:pStyle w:val="Heading1"/>
      </w:pPr>
      <w:r>
        <w:t>5. Percurso A — fotografia do cliente</w:t>
      </w:r>
    </w:p>
    <w:p>
      <w:r>
        <w:t>1. O cliente inicia um projeto e solicita um upload; a API valida permissões e disponibiliza destino temporário.</w:t>
      </w:r>
    </w:p>
    <w:p>
      <w:r>
        <w:t>2. A fotografia é validada (tipo, tamanho, conteúdo e metadados) e guardada em armazenamento privado.</w:t>
      </w:r>
    </w:p>
    <w:p>
      <w:r>
        <w:t>3. A API cria um RenderJob em estado PENDING e coloca uma mensagem na fila.</w:t>
      </w:r>
    </w:p>
    <w:p>
      <w:r>
        <w:t>4. O worker Python obtém a imagem, identifica as rodas e devolve coordenadas, confiança e pré-visualização inicial.</w:t>
      </w:r>
    </w:p>
    <w:p>
      <w:r>
        <w:t>5. O frontend permite corrigir manualmente escala, ângulo e posição das jantes.</w:t>
      </w:r>
    </w:p>
    <w:p>
      <w:r>
        <w:t>6. O cliente confirma a composição; o resultado é guardado como nova versão do projeto.</w:t>
      </w:r>
    </w:p>
    <w:p>
      <w:pPr>
        <w:pStyle w:val="Heading1"/>
      </w:pPr>
      <w:r>
        <w:t>6. Percurso B — veículo do catálogo</w:t>
      </w:r>
    </w:p>
    <w:p>
      <w:r>
        <w:t>O cliente filtra marca, modelo e geração, escolhe uma vista preparada do veículo e seleciona o acessório. Para o MVP, a composição usa imagens 2D calibradas e pontos de ancoragem das rodas. A visualização 3D será adicionada apenas para veículos com modelos licenciados e preparados para troca de componentes.</w:t>
      </w:r>
    </w:p>
    <w:p>
      <w:pPr>
        <w:pStyle w:val="Heading1"/>
      </w:pPr>
      <w:r>
        <w:t>7. Modelo de dados lógico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</w:t>
            </w:r>
          </w:p>
        </w:tc>
        <w:tc>
          <w:tcPr>
            <w:tcW w:type="dxa" w:w="4320"/>
          </w:tcPr>
          <w:p>
            <w:r>
              <w:t>Descrição / relações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Conta e perfil de acesso.</w:t>
            </w:r>
          </w:p>
        </w:tc>
      </w:tr>
      <w:tr>
        <w:tc>
          <w:tcPr>
            <w:tcW w:type="dxa" w:w="4320"/>
          </w:tcPr>
          <w:p>
            <w:r>
              <w:t>Brand / VehicleModel / VehicleGeneration</w:t>
            </w:r>
          </w:p>
        </w:tc>
        <w:tc>
          <w:tcPr>
            <w:tcW w:type="dxa" w:w="4320"/>
          </w:tcPr>
          <w:p>
            <w:r>
              <w:t>Hierarquia do catálogo automóvel.</w:t>
            </w:r>
          </w:p>
        </w:tc>
      </w:tr>
      <w:tr>
        <w:tc>
          <w:tcPr>
            <w:tcW w:type="dxa" w:w="4320"/>
          </w:tcPr>
          <w:p>
            <w:r>
              <w:t>VehicleAsset</w:t>
            </w:r>
          </w:p>
        </w:tc>
        <w:tc>
          <w:tcPr>
            <w:tcW w:type="dxa" w:w="4320"/>
          </w:tcPr>
          <w:p>
            <w:r>
              <w:t>Vista 2D ou recurso 3D, ângulo e pontos de ancoragem.</w:t>
            </w:r>
          </w:p>
        </w:tc>
      </w:tr>
      <w:tr>
        <w:tc>
          <w:tcPr>
            <w:tcW w:type="dxa" w:w="4320"/>
          </w:tcPr>
          <w:p>
            <w:r>
              <w:t>AccessoryCategory / Accessory</w:t>
            </w:r>
          </w:p>
        </w:tc>
        <w:tc>
          <w:tcPr>
            <w:tcW w:type="dxa" w:w="4320"/>
          </w:tcPr>
          <w:p>
            <w:r>
              <w:t>Categoria e identidade do acessório.</w:t>
            </w:r>
          </w:p>
        </w:tc>
      </w:tr>
      <w:tr>
        <w:tc>
          <w:tcPr>
            <w:tcW w:type="dxa" w:w="4320"/>
          </w:tcPr>
          <w:p>
            <w:r>
              <w:t>WheelSpecification</w:t>
            </w:r>
          </w:p>
        </w:tc>
        <w:tc>
          <w:tcPr>
            <w:tcW w:type="dxa" w:w="4320"/>
          </w:tcPr>
          <w:p>
            <w:r>
              <w:t>Atributos técnicos opcionais específicos de jantes.</w:t>
            </w:r>
          </w:p>
        </w:tc>
      </w:tr>
      <w:tr>
        <w:tc>
          <w:tcPr>
            <w:tcW w:type="dxa" w:w="4320"/>
          </w:tcPr>
          <w:p>
            <w:r>
              <w:t>AccessoryAsset</w:t>
            </w:r>
          </w:p>
        </w:tc>
        <w:tc>
          <w:tcPr>
            <w:tcW w:type="dxa" w:w="4320"/>
          </w:tcPr>
          <w:p>
            <w:r>
              <w:t>Imagens e modelos visuais do acessório.</w:t>
            </w:r>
          </w:p>
        </w:tc>
      </w:tr>
      <w:tr>
        <w:tc>
          <w:tcPr>
            <w:tcW w:type="dxa" w:w="4320"/>
          </w:tcPr>
          <w:p>
            <w:r>
              <w:t>CompatibilityRule</w:t>
            </w:r>
          </w:p>
        </w:tc>
        <w:tc>
          <w:tcPr>
            <w:tcW w:type="dxa" w:w="4320"/>
          </w:tcPr>
          <w:p>
            <w:r>
              <w:t>Regras de compatibilidade, quando existirem dados suficientes.</w:t>
            </w:r>
          </w:p>
        </w:tc>
      </w:tr>
      <w:tr>
        <w:tc>
          <w:tcPr>
            <w:tcW w:type="dxa" w:w="4320"/>
          </w:tcPr>
          <w:p>
            <w:r>
              <w:t>CustomizationProject / ProjectItem</w:t>
            </w:r>
          </w:p>
        </w:tc>
        <w:tc>
          <w:tcPr>
            <w:tcW w:type="dxa" w:w="4320"/>
          </w:tcPr>
          <w:p>
            <w:r>
              <w:t>Projeto e acessórios aplicados.</w:t>
            </w:r>
          </w:p>
        </w:tc>
      </w:tr>
      <w:tr>
        <w:tc>
          <w:tcPr>
            <w:tcW w:type="dxa" w:w="4320"/>
          </w:tcPr>
          <w:p>
            <w:r>
              <w:t>RenderJob / RenderResult</w:t>
            </w:r>
          </w:p>
        </w:tc>
        <w:tc>
          <w:tcPr>
            <w:tcW w:type="dxa" w:w="4320"/>
          </w:tcPr>
          <w:p>
            <w:r>
              <w:t>Estado de processamento, erros e resultados versionados.</w:t>
            </w:r>
          </w:p>
        </w:tc>
      </w:tr>
    </w:tbl>
    <w:p>
      <w:r>
        <w:t>Não serão criadas colunas de preço, custo, orçamento, encomenda ou pagamento nesta fase.</w:t>
      </w:r>
    </w:p>
    <w:p>
      <w:pPr>
        <w:pStyle w:val="Heading1"/>
      </w:pPr>
      <w:r>
        <w:t>8. Contratos de API principais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 / rota</w:t>
            </w:r>
          </w:p>
        </w:tc>
        <w:tc>
          <w:tcPr>
            <w:tcW w:type="dxa" w:w="4320"/>
          </w:tcPr>
          <w:p>
            <w:r>
              <w:t>Função</w:t>
            </w:r>
          </w:p>
        </w:tc>
      </w:tr>
      <w:tr>
        <w:tc>
          <w:tcPr>
            <w:tcW w:type="dxa" w:w="4320"/>
          </w:tcPr>
          <w:p>
            <w:r>
              <w:t>GET /api/v1/brands</w:t>
            </w:r>
          </w:p>
        </w:tc>
        <w:tc>
          <w:tcPr>
            <w:tcW w:type="dxa" w:w="4320"/>
          </w:tcPr>
          <w:p>
            <w:r>
              <w:t>Consultar marcas.</w:t>
            </w:r>
          </w:p>
        </w:tc>
      </w:tr>
      <w:tr>
        <w:tc>
          <w:tcPr>
            <w:tcW w:type="dxa" w:w="4320"/>
          </w:tcPr>
          <w:p>
            <w:r>
              <w:t>GET /api/v1/vehicles</w:t>
            </w:r>
          </w:p>
        </w:tc>
        <w:tc>
          <w:tcPr>
            <w:tcW w:type="dxa" w:w="4320"/>
          </w:tcPr>
          <w:p>
            <w:r>
              <w:t>Pesquisar veículos.</w:t>
            </w:r>
          </w:p>
        </w:tc>
      </w:tr>
      <w:tr>
        <w:tc>
          <w:tcPr>
            <w:tcW w:type="dxa" w:w="4320"/>
          </w:tcPr>
          <w:p>
            <w:r>
              <w:t>GET /api/v1/accessories</w:t>
            </w:r>
          </w:p>
        </w:tc>
        <w:tc>
          <w:tcPr>
            <w:tcW w:type="dxa" w:w="4320"/>
          </w:tcPr>
          <w:p>
            <w:r>
              <w:t>Consultar acessórios.</w:t>
            </w:r>
          </w:p>
        </w:tc>
      </w:tr>
      <w:tr>
        <w:tc>
          <w:tcPr>
            <w:tcW w:type="dxa" w:w="4320"/>
          </w:tcPr>
          <w:p>
            <w:r>
              <w:t>POST /api/v1/projects</w:t>
            </w:r>
          </w:p>
        </w:tc>
        <w:tc>
          <w:tcPr>
            <w:tcW w:type="dxa" w:w="4320"/>
          </w:tcPr>
          <w:p>
            <w:r>
              <w:t>Criar projeto.</w:t>
            </w:r>
          </w:p>
        </w:tc>
      </w:tr>
      <w:tr>
        <w:tc>
          <w:tcPr>
            <w:tcW w:type="dxa" w:w="4320"/>
          </w:tcPr>
          <w:p>
            <w:r>
              <w:t>POST /api/v1/projects/{id}/uploads</w:t>
            </w:r>
          </w:p>
        </w:tc>
        <w:tc>
          <w:tcPr>
            <w:tcW w:type="dxa" w:w="4320"/>
          </w:tcPr>
          <w:p>
            <w:r>
              <w:t>Iniciar carregamento de imagem.</w:t>
            </w:r>
          </w:p>
        </w:tc>
      </w:tr>
      <w:tr>
        <w:tc>
          <w:tcPr>
            <w:tcW w:type="dxa" w:w="4320"/>
          </w:tcPr>
          <w:p>
            <w:r>
              <w:t>POST /api/v1/projects/{id}/renders</w:t>
            </w:r>
          </w:p>
        </w:tc>
        <w:tc>
          <w:tcPr>
            <w:tcW w:type="dxa" w:w="4320"/>
          </w:tcPr>
          <w:p>
            <w:r>
              <w:t>Solicitar processamento.</w:t>
            </w:r>
          </w:p>
        </w:tc>
      </w:tr>
      <w:tr>
        <w:tc>
          <w:tcPr>
            <w:tcW w:type="dxa" w:w="4320"/>
          </w:tcPr>
          <w:p>
            <w:r>
              <w:t>GET /api/v1/render-jobs/{id}</w:t>
            </w:r>
          </w:p>
        </w:tc>
        <w:tc>
          <w:tcPr>
            <w:tcW w:type="dxa" w:w="4320"/>
          </w:tcPr>
          <w:p>
            <w:r>
              <w:t>Consultar estado e resultado.</w:t>
            </w:r>
          </w:p>
        </w:tc>
      </w:tr>
      <w:tr>
        <w:tc>
          <w:tcPr>
            <w:tcW w:type="dxa" w:w="4320"/>
          </w:tcPr>
          <w:p>
            <w:r>
              <w:t>PATCH /api/v1/projects/{id}/items/{itemId}</w:t>
            </w:r>
          </w:p>
        </w:tc>
        <w:tc>
          <w:tcPr>
            <w:tcW w:type="dxa" w:w="4320"/>
          </w:tcPr>
          <w:p>
            <w:r>
              <w:t>Guardar ajustes de posição.</w:t>
            </w:r>
          </w:p>
        </w:tc>
      </w:tr>
      <w:tr>
        <w:tc>
          <w:tcPr>
            <w:tcW w:type="dxa" w:w="4320"/>
          </w:tcPr>
          <w:p>
            <w:r>
              <w:t>GET /api/v1/projects/{id}</w:t>
            </w:r>
          </w:p>
        </w:tc>
        <w:tc>
          <w:tcPr>
            <w:tcW w:type="dxa" w:w="4320"/>
          </w:tcPr>
          <w:p>
            <w:r>
              <w:t>Consultar projeto autorizado.</w:t>
            </w:r>
          </w:p>
        </w:tc>
      </w:tr>
    </w:tbl>
    <w:p>
      <w:r>
        <w:t>As respostas de tarefas devem incluir id, estado (PENDING, RUNNING, SUCCEEDED, FAILED), data, mensagem de erro segura e referência do resultado quando disponível. Aplicar paginação, validação e versionamento de API.</w:t>
      </w:r>
    </w:p>
    <w:p>
      <w:pPr>
        <w:pStyle w:val="Heading1"/>
      </w:pPr>
      <w:r>
        <w:t>9. Segurança e privacidade</w:t>
      </w:r>
    </w:p>
    <w:p>
      <w:r>
        <w:t>Spring Security com autenticação JWT ou sessão segura; controlo de autorização no servidor por proprietário do projeto e papel administrativo. Uploads com limites, verificação do tipo real, nomes gerados, antivírus quando aplicável e remoção de EXIF sensível. URLs de acesso temporárias, HTTPS, encriptação em repouso quando suportada, políticas de retenção e eliminação de imagens. Nunca expor credenciais em frontend ou repositório.</w:t>
      </w:r>
    </w:p>
    <w:p>
      <w:pPr>
        <w:pStyle w:val="Heading1"/>
      </w:pPr>
      <w:r>
        <w:t>10. Processamento, fiabilidade e desempenho</w:t>
      </w:r>
    </w:p>
    <w:p>
      <w:r>
        <w:t>Usar processamento assíncrono para tarefas longas, timeouts, idempotência, limite de tentativas e dead-letter queue quando aplicável. Guardar estados e erros na base de dados. Cache apenas para catálogos públicos e recursos imutáveis; resultados privados requerem autorização. Instrumentar métricas de latência, taxa de falhas, profundidade da fila e duração dos renders.</w:t>
      </w:r>
    </w:p>
    <w:p>
      <w:pPr>
        <w:pStyle w:val="Heading1"/>
      </w:pPr>
      <w:r>
        <w:t>11. Infraestrutura e ambientes</w:t>
      </w:r>
    </w:p>
    <w:p>
      <w:r>
        <w:t>Ambientes development, staging e production, com configurações externas e segredos protegidos. Docker Compose no desenvolvimento: Angular, Spring Boot, PostgreSQL, Redis, storage compatível com S3 e worker Python. Em produção, disponibilizar HTTPS, backups, monitorização, armazenamento persistente e políticas de recuperação. GPU apenas quando o modelo visual a exigir.</w:t>
      </w:r>
    </w:p>
    <w:p>
      <w:pPr>
        <w:pStyle w:val="Heading1"/>
      </w:pPr>
      <w:r>
        <w:t>12. Estratégia de entrega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Entrega</w:t>
            </w:r>
          </w:p>
        </w:tc>
      </w:tr>
      <w:tr>
        <w:tc>
          <w:tcPr>
            <w:tcW w:type="dxa" w:w="4320"/>
          </w:tcPr>
          <w:p>
            <w:r>
              <w:t>MVP 1</w:t>
            </w:r>
          </w:p>
        </w:tc>
        <w:tc>
          <w:tcPr>
            <w:tcW w:type="dxa" w:w="4320"/>
          </w:tcPr>
          <w:p>
            <w:r>
              <w:t>Catálogos, autenticação, upload e projetos; aplicação 2D manual de jantes.</w:t>
            </w:r>
          </w:p>
        </w:tc>
      </w:tr>
      <w:tr>
        <w:tc>
          <w:tcPr>
            <w:tcW w:type="dxa" w:w="4320"/>
          </w:tcPr>
          <w:p>
            <w:r>
              <w:t>MVP 2</w:t>
            </w:r>
          </w:p>
        </w:tc>
        <w:tc>
          <w:tcPr>
            <w:tcW w:type="dxa" w:w="4320"/>
          </w:tcPr>
          <w:p>
            <w:r>
              <w:t>Deteção semiautomática de rodas, jobs assíncronos e comparação.</w:t>
            </w:r>
          </w:p>
        </w:tc>
      </w:tr>
      <w:tr>
        <w:tc>
          <w:tcPr>
            <w:tcW w:type="dxa" w:w="4320"/>
          </w:tcPr>
          <w:p>
            <w:r>
              <w:t>Evolução 1</w:t>
            </w:r>
          </w:p>
        </w:tc>
        <w:tc>
          <w:tcPr>
            <w:tcW w:type="dxa" w:w="4320"/>
          </w:tcPr>
          <w:p>
            <w:r>
              <w:t>Compatibilidade técnica mais robusta e novos acessórios.</w:t>
            </w:r>
          </w:p>
        </w:tc>
      </w:tr>
      <w:tr>
        <w:tc>
          <w:tcPr>
            <w:tcW w:type="dxa" w:w="4320"/>
          </w:tcPr>
          <w:p>
            <w:r>
              <w:t>Evolução 2</w:t>
            </w:r>
          </w:p>
        </w:tc>
        <w:tc>
          <w:tcPr>
            <w:tcW w:type="dxa" w:w="4320"/>
          </w:tcPr>
          <w:p>
            <w:r>
              <w:t>Modelos 3D e IA generativa sob avaliação.</w:t>
            </w:r>
          </w:p>
        </w:tc>
      </w:tr>
    </w:tbl>
    <w:p>
      <w:pPr>
        <w:pStyle w:val="Heading1"/>
      </w:pPr>
      <w:r>
        <w:t>13. Decisões e questões pendentes</w:t>
      </w:r>
    </w:p>
    <w:p>
      <w:r>
        <w:t>A confirmar: política de acesso de visitantes; limites de upload; retenção de fotografias; fontes e licenças dos modelos de veículos; nível de verificação de compatibilidade; disponibilidade de recursos computacionais para IA; eventual suporte a múltiplas lojas. Estas decisões não impedem a implementação inicial do simulador 2D.</w:t>
      </w:r>
    </w:p>
    <w:p>
      <w:pPr>
        <w:pStyle w:val="Heading1"/>
      </w:pPr>
      <w:r>
        <w:t>14. Critérios de aceitação arquitetural</w:t>
      </w:r>
    </w:p>
    <w:p>
      <w:r>
        <w:t>• O backend deve permitir criar projetos a partir de fotografia ou veículo do catálogo.</w:t>
      </w:r>
    </w:p>
    <w:p>
      <w:r>
        <w:t>• Uma tarefa visual deve ser rastreável pelo seu identificador e estado.</w:t>
      </w:r>
    </w:p>
    <w:p>
      <w:r>
        <w:t>• Um utilizador não deve conseguir aceder às imagens privadas de outro.</w:t>
      </w:r>
    </w:p>
    <w:p>
      <w:r>
        <w:t>• O editor deve permitir ajuste manual e guardar as transformações.</w:t>
      </w:r>
    </w:p>
    <w:p>
      <w:r>
        <w:t>• O catálogo de acessórios deve funcionar sem qualquer campo monetário obrigatório.</w:t>
      </w:r>
    </w:p>
    <w:p>
      <w:r>
        <w:t>• A falha do motor de visão não deve comprometer a integridade dos projetos.</w:t>
      </w:r>
    </w:p>
    <w:p>
      <w:pPr>
        <w:pStyle w:val="Heading1"/>
      </w:pPr>
      <w:r>
        <w:t>15. Próximos documentos</w:t>
      </w:r>
    </w:p>
    <w:p>
      <w:r>
        <w:t>Documento 06 — Modelo de Dados: diagrama entidade-relacionamento, cardinalidades, atributos e regras de integridade. Documento 07 — Diagramas técnicos UML e fluxos de sequência. Documento 08 — Protótipos de interface.</w:t>
      </w:r>
    </w:p>
    <w:sectPr w:rsidR="00FC693F" w:rsidRPr="0006063C" w:rsidSect="00034616">
      <w:footerReference w:type="default" r:id="rId10"/>
      <w:pgSz w:w="12240" w:h="15840"/>
      <w:pgMar w:top="1123" w:right="1800" w:bottom="1008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AutoVision · AV-DOC-005 · Versão 1.0 ·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5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A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