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04</w:t>
      </w:r>
    </w:p>
    <w:p>
      <w:pPr>
        <w:pStyle w:val="Heading1"/>
      </w:pPr>
      <w:r>
        <w:t>Especificação de Casos de Uso</w:t>
      </w:r>
    </w:p>
    <w:p>
      <w:r>
        <w:t>AutoVision — Sistema de Visualização e Personalização Automóvel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Campo</w:t>
            </w:r>
          </w:p>
        </w:tc>
        <w:tc>
          <w:tcPr>
            <w:tcW w:type="dxa" w:w="4896"/>
          </w:tcPr>
          <w:p>
            <w:r>
              <w:t>Valor</w:t>
            </w:r>
          </w:p>
        </w:tc>
      </w:tr>
      <w:tr>
        <w:tc>
          <w:tcPr>
            <w:tcW w:type="dxa" w:w="4896"/>
          </w:tcPr>
          <w:p>
            <w:r>
              <w:t>Código</w:t>
            </w:r>
          </w:p>
        </w:tc>
        <w:tc>
          <w:tcPr>
            <w:tcW w:type="dxa" w:w="4896"/>
          </w:tcPr>
          <w:p>
            <w:r>
              <w:t>AV-DOC-004</w:t>
            </w:r>
          </w:p>
        </w:tc>
      </w:tr>
      <w:tr>
        <w:tc>
          <w:tcPr>
            <w:tcW w:type="dxa" w:w="4896"/>
          </w:tcPr>
          <w:p>
            <w:r>
              <w:t>Versão</w:t>
            </w:r>
          </w:p>
        </w:tc>
        <w:tc>
          <w:tcPr>
            <w:tcW w:type="dxa" w:w="4896"/>
          </w:tcPr>
          <w:p>
            <w:r>
              <w:t>1.0</w:t>
            </w:r>
          </w:p>
        </w:tc>
      </w:tr>
      <w:tr>
        <w:tc>
          <w:tcPr>
            <w:tcW w:type="dxa" w:w="4896"/>
          </w:tcPr>
          <w:p>
            <w:r>
              <w:t>Estado</w:t>
            </w:r>
          </w:p>
        </w:tc>
        <w:tc>
          <w:tcPr>
            <w:tcW w:type="dxa" w:w="4896"/>
          </w:tcPr>
          <w:p>
            <w:r>
              <w:t>Versão inicial para revisão</w:t>
            </w:r>
          </w:p>
        </w:tc>
      </w:tr>
      <w:tr>
        <w:tc>
          <w:tcPr>
            <w:tcW w:type="dxa" w:w="4896"/>
          </w:tcPr>
          <w:p>
            <w:r>
              <w:t>Data</w:t>
            </w:r>
          </w:p>
        </w:tc>
        <w:tc>
          <w:tcPr>
            <w:tcW w:type="dxa" w:w="4896"/>
          </w:tcPr>
          <w:p>
            <w:r>
              <w:t>21/10/2026</w:t>
            </w:r>
          </w:p>
        </w:tc>
      </w:tr>
      <w:tr>
        <w:tc>
          <w:tcPr>
            <w:tcW w:type="dxa" w:w="4896"/>
          </w:tcPr>
          <w:p>
            <w:r>
              <w:t>Âmbito</w:t>
            </w:r>
          </w:p>
        </w:tc>
        <w:tc>
          <w:tcPr>
            <w:tcW w:type="dxa" w:w="4896"/>
          </w:tcPr>
          <w:p>
            <w:r>
              <w:t>Personalização visual; sem preços, vendas ou orçamentos</w:t>
            </w:r>
          </w:p>
        </w:tc>
      </w:tr>
    </w:tbl>
    <w:p>
      <w:pPr>
        <w:pStyle w:val="Heading1"/>
      </w:pPr>
      <w:r>
        <w:t>1. Objetivo e âmbito</w:t>
      </w:r>
    </w:p>
    <w:p>
      <w:r>
        <w:t>Descrever as interações dos atores com o AutoVision, os fluxos principais e alternativos, as pré-condições, as pós-condições e os critérios de aceitação. O sistema suporta fotografias dos clientes e veículos do catálogo, começando pela simulação de jantes.</w:t>
      </w:r>
    </w:p>
    <w:p>
      <w:r>
        <w:t>Fora do âmbito: gestão de custos e preços, pagamentos, stock, encomendas, vendas e orçamentos. Visualização 3D avançada e outros acessórios são evoluções futuras.</w:t>
      </w:r>
    </w:p>
    <w:p>
      <w:pPr>
        <w:pStyle w:val="Heading1"/>
      </w:pPr>
      <w:r>
        <w:t>2. Atores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Ator</w:t>
            </w:r>
          </w:p>
        </w:tc>
        <w:tc>
          <w:tcPr>
            <w:tcW w:type="dxa" w:w="4896"/>
          </w:tcPr>
          <w:p>
            <w:r>
              <w:t>Descrição</w:t>
            </w:r>
          </w:p>
        </w:tc>
      </w:tr>
      <w:tr>
        <w:tc>
          <w:tcPr>
            <w:tcW w:type="dxa" w:w="4896"/>
          </w:tcPr>
          <w:p>
            <w:r>
              <w:t>Visitante</w:t>
            </w:r>
          </w:p>
        </w:tc>
        <w:tc>
          <w:tcPr>
            <w:tcW w:type="dxa" w:w="4896"/>
          </w:tcPr>
          <w:p>
            <w:r>
              <w:t>Consulta o catálogo e experimenta uma simulação temporária, sujeito a limites.</w:t>
            </w:r>
          </w:p>
        </w:tc>
      </w:tr>
      <w:tr>
        <w:tc>
          <w:tcPr>
            <w:tcW w:type="dxa" w:w="4896"/>
          </w:tcPr>
          <w:p>
            <w:r>
              <w:t>Cliente</w:t>
            </w:r>
          </w:p>
        </w:tc>
        <w:tc>
          <w:tcPr>
            <w:tcW w:type="dxa" w:w="4896"/>
          </w:tcPr>
          <w:p>
            <w:r>
              <w:t>Utilizador autenticado; pode guardar, consultar, alterar e eliminar os seus projetos.</w:t>
            </w:r>
          </w:p>
        </w:tc>
      </w:tr>
      <w:tr>
        <w:tc>
          <w:tcPr>
            <w:tcW w:type="dxa" w:w="4896"/>
          </w:tcPr>
          <w:p>
            <w:r>
              <w:t>Administrador</w:t>
            </w:r>
          </w:p>
        </w:tc>
        <w:tc>
          <w:tcPr>
            <w:tcW w:type="dxa" w:w="4896"/>
          </w:tcPr>
          <w:p>
            <w:r>
              <w:t>Gere marcas, modelos, veículos, acessórios, recursos visuais e contas de utilizador.</w:t>
            </w:r>
          </w:p>
        </w:tc>
      </w:tr>
      <w:tr>
        <w:tc>
          <w:tcPr>
            <w:tcW w:type="dxa" w:w="4896"/>
          </w:tcPr>
          <w:p>
            <w:r>
              <w:t>Serviço de processamento visual</w:t>
            </w:r>
          </w:p>
        </w:tc>
        <w:tc>
          <w:tcPr>
            <w:tcW w:type="dxa" w:w="4896"/>
          </w:tcPr>
          <w:p>
            <w:r>
              <w:t>Sistema externo/serviço técnico que analisa e compõe imagens; não é utilizador humano.</w:t>
            </w:r>
          </w:p>
        </w:tc>
      </w:tr>
    </w:tbl>
    <w:p>
      <w:pPr>
        <w:pStyle w:val="Heading1"/>
      </w:pPr>
      <w:r>
        <w:t>3. Catálogo de casos de uso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Código</w:t>
            </w:r>
          </w:p>
        </w:tc>
        <w:tc>
          <w:tcPr>
            <w:tcW w:type="dxa" w:w="2448"/>
          </w:tcPr>
          <w:p>
            <w:r>
              <w:t>Caso de uso</w:t>
            </w:r>
          </w:p>
        </w:tc>
        <w:tc>
          <w:tcPr>
            <w:tcW w:type="dxa" w:w="2448"/>
          </w:tcPr>
          <w:p>
            <w:r>
              <w:t>Ator</w:t>
            </w:r>
          </w:p>
        </w:tc>
        <w:tc>
          <w:tcPr>
            <w:tcW w:type="dxa" w:w="2448"/>
          </w:tcPr>
          <w:p>
            <w:r>
              <w:t>Prioridade</w:t>
            </w:r>
          </w:p>
        </w:tc>
      </w:tr>
      <w:tr>
        <w:tc>
          <w:tcPr>
            <w:tcW w:type="dxa" w:w="2448"/>
          </w:tcPr>
          <w:p>
            <w:r>
              <w:t>UC01</w:t>
            </w:r>
          </w:p>
        </w:tc>
        <w:tc>
          <w:tcPr>
            <w:tcW w:type="dxa" w:w="2448"/>
          </w:tcPr>
          <w:p>
            <w:r>
              <w:t>Consultar catálogo de veículos</w:t>
            </w:r>
          </w:p>
        </w:tc>
        <w:tc>
          <w:tcPr>
            <w:tcW w:type="dxa" w:w="2448"/>
          </w:tcPr>
          <w:p>
            <w:r>
              <w:t>Visitante, Cliente</w:t>
            </w:r>
          </w:p>
        </w:tc>
        <w:tc>
          <w:tcPr>
            <w:tcW w:type="dxa" w:w="2448"/>
          </w:tcPr>
          <w:p>
            <w:r>
              <w:t>Alta</w:t>
            </w:r>
          </w:p>
        </w:tc>
      </w:tr>
      <w:tr>
        <w:tc>
          <w:tcPr>
            <w:tcW w:type="dxa" w:w="2448"/>
          </w:tcPr>
          <w:p>
            <w:r>
              <w:t>UC02</w:t>
            </w:r>
          </w:p>
        </w:tc>
        <w:tc>
          <w:tcPr>
            <w:tcW w:type="dxa" w:w="2448"/>
          </w:tcPr>
          <w:p>
            <w:r>
              <w:t>Selecionar veículo do catálogo</w:t>
            </w:r>
          </w:p>
        </w:tc>
        <w:tc>
          <w:tcPr>
            <w:tcW w:type="dxa" w:w="2448"/>
          </w:tcPr>
          <w:p>
            <w:r>
              <w:t>Visitante, Cliente</w:t>
            </w:r>
          </w:p>
        </w:tc>
        <w:tc>
          <w:tcPr>
            <w:tcW w:type="dxa" w:w="2448"/>
          </w:tcPr>
          <w:p>
            <w:r>
              <w:t>Alta</w:t>
            </w:r>
          </w:p>
        </w:tc>
      </w:tr>
      <w:tr>
        <w:tc>
          <w:tcPr>
            <w:tcW w:type="dxa" w:w="2448"/>
          </w:tcPr>
          <w:p>
            <w:r>
              <w:t>UC03</w:t>
            </w:r>
          </w:p>
        </w:tc>
        <w:tc>
          <w:tcPr>
            <w:tcW w:type="dxa" w:w="2448"/>
          </w:tcPr>
          <w:p>
            <w:r>
              <w:t>Carregar fotografia própria</w:t>
            </w:r>
          </w:p>
        </w:tc>
        <w:tc>
          <w:tcPr>
            <w:tcW w:type="dxa" w:w="2448"/>
          </w:tcPr>
          <w:p>
            <w:r>
              <w:t>Visitante, Cliente</w:t>
            </w:r>
          </w:p>
        </w:tc>
        <w:tc>
          <w:tcPr>
            <w:tcW w:type="dxa" w:w="2448"/>
          </w:tcPr>
          <w:p>
            <w:r>
              <w:t>Alta</w:t>
            </w:r>
          </w:p>
        </w:tc>
      </w:tr>
      <w:tr>
        <w:tc>
          <w:tcPr>
            <w:tcW w:type="dxa" w:w="2448"/>
          </w:tcPr>
          <w:p>
            <w:r>
              <w:t>UC04</w:t>
            </w:r>
          </w:p>
        </w:tc>
        <w:tc>
          <w:tcPr>
            <w:tcW w:type="dxa" w:w="2448"/>
          </w:tcPr>
          <w:p>
            <w:r>
              <w:t>Consultar e selecionar jantes</w:t>
            </w:r>
          </w:p>
        </w:tc>
        <w:tc>
          <w:tcPr>
            <w:tcW w:type="dxa" w:w="2448"/>
          </w:tcPr>
          <w:p>
            <w:r>
              <w:t>Visitante, Cliente</w:t>
            </w:r>
          </w:p>
        </w:tc>
        <w:tc>
          <w:tcPr>
            <w:tcW w:type="dxa" w:w="2448"/>
          </w:tcPr>
          <w:p>
            <w:r>
              <w:t>Alta</w:t>
            </w:r>
          </w:p>
        </w:tc>
      </w:tr>
      <w:tr>
        <w:tc>
          <w:tcPr>
            <w:tcW w:type="dxa" w:w="2448"/>
          </w:tcPr>
          <w:p>
            <w:r>
              <w:t>UC05</w:t>
            </w:r>
          </w:p>
        </w:tc>
        <w:tc>
          <w:tcPr>
            <w:tcW w:type="dxa" w:w="2448"/>
          </w:tcPr>
          <w:p>
            <w:r>
              <w:t>Gerar simulação visual</w:t>
            </w:r>
          </w:p>
        </w:tc>
        <w:tc>
          <w:tcPr>
            <w:tcW w:type="dxa" w:w="2448"/>
          </w:tcPr>
          <w:p>
            <w:r>
              <w:t>Visitante, Cliente</w:t>
            </w:r>
          </w:p>
        </w:tc>
        <w:tc>
          <w:tcPr>
            <w:tcW w:type="dxa" w:w="2448"/>
          </w:tcPr>
          <w:p>
            <w:r>
              <w:t>Alta</w:t>
            </w:r>
          </w:p>
        </w:tc>
      </w:tr>
      <w:tr>
        <w:tc>
          <w:tcPr>
            <w:tcW w:type="dxa" w:w="2448"/>
          </w:tcPr>
          <w:p>
            <w:r>
              <w:t>UC06</w:t>
            </w:r>
          </w:p>
        </w:tc>
        <w:tc>
          <w:tcPr>
            <w:tcW w:type="dxa" w:w="2448"/>
          </w:tcPr>
          <w:p>
            <w:r>
              <w:t>Ajustar jantes manualmente</w:t>
            </w:r>
          </w:p>
        </w:tc>
        <w:tc>
          <w:tcPr>
            <w:tcW w:type="dxa" w:w="2448"/>
          </w:tcPr>
          <w:p>
            <w:r>
              <w:t>Visitante, Cliente</w:t>
            </w:r>
          </w:p>
        </w:tc>
        <w:tc>
          <w:tcPr>
            <w:tcW w:type="dxa" w:w="2448"/>
          </w:tcPr>
          <w:p>
            <w:r>
              <w:t>Alta</w:t>
            </w:r>
          </w:p>
        </w:tc>
      </w:tr>
      <w:tr>
        <w:tc>
          <w:tcPr>
            <w:tcW w:type="dxa" w:w="2448"/>
          </w:tcPr>
          <w:p>
            <w:r>
              <w:t>UC07</w:t>
            </w:r>
          </w:p>
        </w:tc>
        <w:tc>
          <w:tcPr>
            <w:tcW w:type="dxa" w:w="2448"/>
          </w:tcPr>
          <w:p>
            <w:r>
              <w:t>Comparar antes/depois</w:t>
            </w:r>
          </w:p>
        </w:tc>
        <w:tc>
          <w:tcPr>
            <w:tcW w:type="dxa" w:w="2448"/>
          </w:tcPr>
          <w:p>
            <w:r>
              <w:t>Visitante, Cliente</w:t>
            </w:r>
          </w:p>
        </w:tc>
        <w:tc>
          <w:tcPr>
            <w:tcW w:type="dxa" w:w="2448"/>
          </w:tcPr>
          <w:p>
            <w:r>
              <w:t>Alta</w:t>
            </w:r>
          </w:p>
        </w:tc>
      </w:tr>
      <w:tr>
        <w:tc>
          <w:tcPr>
            <w:tcW w:type="dxa" w:w="2448"/>
          </w:tcPr>
          <w:p>
            <w:r>
              <w:t>UC08</w:t>
            </w:r>
          </w:p>
        </w:tc>
        <w:tc>
          <w:tcPr>
            <w:tcW w:type="dxa" w:w="2448"/>
          </w:tcPr>
          <w:p>
            <w:r>
              <w:t>Registar conta</w:t>
            </w:r>
          </w:p>
        </w:tc>
        <w:tc>
          <w:tcPr>
            <w:tcW w:type="dxa" w:w="2448"/>
          </w:tcPr>
          <w:p>
            <w:r>
              <w:t>Visitante</w:t>
            </w:r>
          </w:p>
        </w:tc>
        <w:tc>
          <w:tcPr>
            <w:tcW w:type="dxa" w:w="2448"/>
          </w:tcPr>
          <w:p>
            <w:r>
              <w:t>Média</w:t>
            </w:r>
          </w:p>
        </w:tc>
      </w:tr>
      <w:tr>
        <w:tc>
          <w:tcPr>
            <w:tcW w:type="dxa" w:w="2448"/>
          </w:tcPr>
          <w:p>
            <w:r>
              <w:t>UC09</w:t>
            </w:r>
          </w:p>
        </w:tc>
        <w:tc>
          <w:tcPr>
            <w:tcW w:type="dxa" w:w="2448"/>
          </w:tcPr>
          <w:p>
            <w:r>
              <w:t>Autenticar-se</w:t>
            </w:r>
          </w:p>
        </w:tc>
        <w:tc>
          <w:tcPr>
            <w:tcW w:type="dxa" w:w="2448"/>
          </w:tcPr>
          <w:p>
            <w:r>
              <w:t>Cliente, Administrador</w:t>
            </w:r>
          </w:p>
        </w:tc>
        <w:tc>
          <w:tcPr>
            <w:tcW w:type="dxa" w:w="2448"/>
          </w:tcPr>
          <w:p>
            <w:r>
              <w:t>Alta</w:t>
            </w:r>
          </w:p>
        </w:tc>
      </w:tr>
      <w:tr>
        <w:tc>
          <w:tcPr>
            <w:tcW w:type="dxa" w:w="2448"/>
          </w:tcPr>
          <w:p>
            <w:r>
              <w:t>UC10</w:t>
            </w:r>
          </w:p>
        </w:tc>
        <w:tc>
          <w:tcPr>
            <w:tcW w:type="dxa" w:w="2448"/>
          </w:tcPr>
          <w:p>
            <w:r>
              <w:t>Guardar projeto</w:t>
            </w:r>
          </w:p>
        </w:tc>
        <w:tc>
          <w:tcPr>
            <w:tcW w:type="dxa" w:w="2448"/>
          </w:tcPr>
          <w:p>
            <w:r>
              <w:t>Cliente</w:t>
            </w:r>
          </w:p>
        </w:tc>
        <w:tc>
          <w:tcPr>
            <w:tcW w:type="dxa" w:w="2448"/>
          </w:tcPr>
          <w:p>
            <w:r>
              <w:t>Alta</w:t>
            </w:r>
          </w:p>
        </w:tc>
      </w:tr>
      <w:tr>
        <w:tc>
          <w:tcPr>
            <w:tcW w:type="dxa" w:w="2448"/>
          </w:tcPr>
          <w:p>
            <w:r>
              <w:t>UC11</w:t>
            </w:r>
          </w:p>
        </w:tc>
        <w:tc>
          <w:tcPr>
            <w:tcW w:type="dxa" w:w="2448"/>
          </w:tcPr>
          <w:p>
            <w:r>
              <w:t>Consultar e editar projeto</w:t>
            </w:r>
          </w:p>
        </w:tc>
        <w:tc>
          <w:tcPr>
            <w:tcW w:type="dxa" w:w="2448"/>
          </w:tcPr>
          <w:p>
            <w:r>
              <w:t>Cliente</w:t>
            </w:r>
          </w:p>
        </w:tc>
        <w:tc>
          <w:tcPr>
            <w:tcW w:type="dxa" w:w="2448"/>
          </w:tcPr>
          <w:p>
            <w:r>
              <w:t>Alta</w:t>
            </w:r>
          </w:p>
        </w:tc>
      </w:tr>
      <w:tr>
        <w:tc>
          <w:tcPr>
            <w:tcW w:type="dxa" w:w="2448"/>
          </w:tcPr>
          <w:p>
            <w:r>
              <w:t>UC12</w:t>
            </w:r>
          </w:p>
        </w:tc>
        <w:tc>
          <w:tcPr>
            <w:tcW w:type="dxa" w:w="2448"/>
          </w:tcPr>
          <w:p>
            <w:r>
              <w:t>Eliminar projeto</w:t>
            </w:r>
          </w:p>
        </w:tc>
        <w:tc>
          <w:tcPr>
            <w:tcW w:type="dxa" w:w="2448"/>
          </w:tcPr>
          <w:p>
            <w:r>
              <w:t>Cliente</w:t>
            </w:r>
          </w:p>
        </w:tc>
        <w:tc>
          <w:tcPr>
            <w:tcW w:type="dxa" w:w="2448"/>
          </w:tcPr>
          <w:p>
            <w:r>
              <w:t>Alta</w:t>
            </w:r>
          </w:p>
        </w:tc>
      </w:tr>
      <w:tr>
        <w:tc>
          <w:tcPr>
            <w:tcW w:type="dxa" w:w="2448"/>
          </w:tcPr>
          <w:p>
            <w:r>
              <w:t>UC13</w:t>
            </w:r>
          </w:p>
        </w:tc>
        <w:tc>
          <w:tcPr>
            <w:tcW w:type="dxa" w:w="2448"/>
          </w:tcPr>
          <w:p>
            <w:r>
              <w:t>Exportar resultado</w:t>
            </w:r>
          </w:p>
        </w:tc>
        <w:tc>
          <w:tcPr>
            <w:tcW w:type="dxa" w:w="2448"/>
          </w:tcPr>
          <w:p>
            <w:r>
              <w:t>Cliente</w:t>
            </w:r>
          </w:p>
        </w:tc>
        <w:tc>
          <w:tcPr>
            <w:tcW w:type="dxa" w:w="2448"/>
          </w:tcPr>
          <w:p>
            <w:r>
              <w:t>Média</w:t>
            </w:r>
          </w:p>
        </w:tc>
      </w:tr>
      <w:tr>
        <w:tc>
          <w:tcPr>
            <w:tcW w:type="dxa" w:w="2448"/>
          </w:tcPr>
          <w:p>
            <w:r>
              <w:t>UC14</w:t>
            </w:r>
          </w:p>
        </w:tc>
        <w:tc>
          <w:tcPr>
            <w:tcW w:type="dxa" w:w="2448"/>
          </w:tcPr>
          <w:p>
            <w:r>
              <w:t>Gerir marcas, modelos e veículos</w:t>
            </w:r>
          </w:p>
        </w:tc>
        <w:tc>
          <w:tcPr>
            <w:tcW w:type="dxa" w:w="2448"/>
          </w:tcPr>
          <w:p>
            <w:r>
              <w:t>Administrador</w:t>
            </w:r>
          </w:p>
        </w:tc>
        <w:tc>
          <w:tcPr>
            <w:tcW w:type="dxa" w:w="2448"/>
          </w:tcPr>
          <w:p>
            <w:r>
              <w:t>Alta</w:t>
            </w:r>
          </w:p>
        </w:tc>
      </w:tr>
      <w:tr>
        <w:tc>
          <w:tcPr>
            <w:tcW w:type="dxa" w:w="2448"/>
          </w:tcPr>
          <w:p>
            <w:r>
              <w:t>UC15</w:t>
            </w:r>
          </w:p>
        </w:tc>
        <w:tc>
          <w:tcPr>
            <w:tcW w:type="dxa" w:w="2448"/>
          </w:tcPr>
          <w:p>
            <w:r>
              <w:t>Gerir categorias, jantes e recursos</w:t>
            </w:r>
          </w:p>
        </w:tc>
        <w:tc>
          <w:tcPr>
            <w:tcW w:type="dxa" w:w="2448"/>
          </w:tcPr>
          <w:p>
            <w:r>
              <w:t>Administrador</w:t>
            </w:r>
          </w:p>
        </w:tc>
        <w:tc>
          <w:tcPr>
            <w:tcW w:type="dxa" w:w="2448"/>
          </w:tcPr>
          <w:p>
            <w:r>
              <w:t>Alta</w:t>
            </w:r>
          </w:p>
        </w:tc>
      </w:tr>
      <w:tr>
        <w:tc>
          <w:tcPr>
            <w:tcW w:type="dxa" w:w="2448"/>
          </w:tcPr>
          <w:p>
            <w:r>
              <w:t>UC16</w:t>
            </w:r>
          </w:p>
        </w:tc>
        <w:tc>
          <w:tcPr>
            <w:tcW w:type="dxa" w:w="2448"/>
          </w:tcPr>
          <w:p>
            <w:r>
              <w:t>Gerir utilizadores e permissões</w:t>
            </w:r>
          </w:p>
        </w:tc>
        <w:tc>
          <w:tcPr>
            <w:tcW w:type="dxa" w:w="2448"/>
          </w:tcPr>
          <w:p>
            <w:r>
              <w:t>Administrador</w:t>
            </w:r>
          </w:p>
        </w:tc>
        <w:tc>
          <w:tcPr>
            <w:tcW w:type="dxa" w:w="2448"/>
          </w:tcPr>
          <w:p>
            <w:r>
              <w:t>Média</w:t>
            </w:r>
          </w:p>
        </w:tc>
      </w:tr>
    </w:tbl>
    <w:p>
      <w:pPr>
        <w:pStyle w:val="Heading1"/>
      </w:pPr>
      <w:r>
        <w:t>4. Diagrama geral de casos de uso</w:t>
      </w:r>
    </w:p>
    <w:p>
      <w:r>
        <w:t>Representação de alto nível. As associações mostram permissões típicas; a descrição textual prevalece para exceções e condições.</w:t>
      </w:r>
    </w:p>
    <w:p>
      <w:r>
        <w:t>O diagrama UML geral é disponibilizado como ficheiro PNG em anexo, para facilitar a leitura e a revisão.</w:t>
      </w:r>
    </w:p>
    <w:p>
      <w:pPr>
        <w:pStyle w:val="Heading1"/>
      </w:pPr>
      <w:r>
        <w:t>5. Especificação detalhada</w:t>
      </w:r>
    </w:p>
    <w:p>
      <w:pPr>
        <w:pStyle w:val="Heading2"/>
      </w:pPr>
      <w:r>
        <w:t>UC02 — Selecionar veículo do catálogo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Elemento</w:t>
            </w:r>
          </w:p>
        </w:tc>
        <w:tc>
          <w:tcPr>
            <w:tcW w:type="dxa" w:w="4896"/>
          </w:tcPr>
          <w:p>
            <w:r>
              <w:t>Descrição</w:t>
            </w:r>
          </w:p>
        </w:tc>
      </w:tr>
      <w:tr>
        <w:tc>
          <w:tcPr>
            <w:tcW w:type="dxa" w:w="4896"/>
          </w:tcPr>
          <w:p>
            <w:r>
              <w:t>Ator principal</w:t>
            </w:r>
          </w:p>
        </w:tc>
        <w:tc>
          <w:tcPr>
            <w:tcW w:type="dxa" w:w="4896"/>
          </w:tcPr>
          <w:p>
            <w:r>
              <w:t>Visitante ou Cliente</w:t>
            </w:r>
          </w:p>
        </w:tc>
      </w:tr>
      <w:tr>
        <w:tc>
          <w:tcPr>
            <w:tcW w:type="dxa" w:w="4896"/>
          </w:tcPr>
          <w:p>
            <w:r>
              <w:t>Pré-condições</w:t>
            </w:r>
          </w:p>
        </w:tc>
        <w:tc>
          <w:tcPr>
            <w:tcW w:type="dxa" w:w="4896"/>
          </w:tcPr>
          <w:p>
            <w:r>
              <w:t>Existem marcas, modelos e imagens publicadas.</w:t>
            </w:r>
          </w:p>
        </w:tc>
      </w:tr>
      <w:tr>
        <w:tc>
          <w:tcPr>
            <w:tcW w:type="dxa" w:w="4896"/>
          </w:tcPr>
          <w:p>
            <w:r>
              <w:t>Fluxo principal</w:t>
            </w:r>
          </w:p>
        </w:tc>
        <w:tc>
          <w:tcPr>
            <w:tcW w:type="dxa" w:w="4896"/>
          </w:tcPr>
          <w:p>
            <w:r>
              <w:t>1. Abrir catálogo. 2. Filtrar marca, modelo, geração e ano. 3. Selecionar veículo e imagem. 4. Iniciar simulador.</w:t>
            </w:r>
          </w:p>
        </w:tc>
      </w:tr>
      <w:tr>
        <w:tc>
          <w:tcPr>
            <w:tcW w:type="dxa" w:w="4896"/>
          </w:tcPr>
          <w:p>
            <w:r>
              <w:t>Fluxos alternativos / exceções</w:t>
            </w:r>
          </w:p>
        </w:tc>
        <w:tc>
          <w:tcPr>
            <w:tcW w:type="dxa" w:w="4896"/>
          </w:tcPr>
          <w:p>
            <w:r>
              <w:t>Não existem imagens adequadas: informar indisponibilidade e sugerir fotografia própria.</w:t>
            </w:r>
          </w:p>
        </w:tc>
      </w:tr>
      <w:tr>
        <w:tc>
          <w:tcPr>
            <w:tcW w:type="dxa" w:w="4896"/>
          </w:tcPr>
          <w:p>
            <w:r>
              <w:t>Pós-condições</w:t>
            </w:r>
          </w:p>
        </w:tc>
        <w:tc>
          <w:tcPr>
            <w:tcW w:type="dxa" w:w="4896"/>
          </w:tcPr>
          <w:p>
            <w:r>
              <w:t>Veículo e imagem de base associados à sessão de simulação.</w:t>
            </w:r>
          </w:p>
        </w:tc>
      </w:tr>
      <w:tr>
        <w:tc>
          <w:tcPr>
            <w:tcW w:type="dxa" w:w="4896"/>
          </w:tcPr>
          <w:p>
            <w:r>
              <w:t>Critério de aceitação</w:t>
            </w:r>
          </w:p>
        </w:tc>
        <w:tc>
          <w:tcPr>
            <w:tcW w:type="dxa" w:w="4896"/>
          </w:tcPr>
          <w:p>
            <w:r>
              <w:t>A seleção mantém a identificação do veículo e o ângulo da imagem.</w:t>
            </w:r>
          </w:p>
        </w:tc>
      </w:tr>
    </w:tbl>
    <w:p>
      <w:pPr>
        <w:pStyle w:val="Heading2"/>
      </w:pPr>
      <w:r>
        <w:t>UC03 — Carregar fotografia própria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Elemento</w:t>
            </w:r>
          </w:p>
        </w:tc>
        <w:tc>
          <w:tcPr>
            <w:tcW w:type="dxa" w:w="4896"/>
          </w:tcPr>
          <w:p>
            <w:r>
              <w:t>Descrição</w:t>
            </w:r>
          </w:p>
        </w:tc>
      </w:tr>
      <w:tr>
        <w:tc>
          <w:tcPr>
            <w:tcW w:type="dxa" w:w="4896"/>
          </w:tcPr>
          <w:p>
            <w:r>
              <w:t>Ator principal</w:t>
            </w:r>
          </w:p>
        </w:tc>
        <w:tc>
          <w:tcPr>
            <w:tcW w:type="dxa" w:w="4896"/>
          </w:tcPr>
          <w:p>
            <w:r>
              <w:t>Visitante ou Cliente</w:t>
            </w:r>
          </w:p>
        </w:tc>
      </w:tr>
      <w:tr>
        <w:tc>
          <w:tcPr>
            <w:tcW w:type="dxa" w:w="4896"/>
          </w:tcPr>
          <w:p>
            <w:r>
              <w:t>Pré-condições</w:t>
            </w:r>
          </w:p>
        </w:tc>
        <w:tc>
          <w:tcPr>
            <w:tcW w:type="dxa" w:w="4896"/>
          </w:tcPr>
          <w:p>
            <w:r>
              <w:t>O utilizador dispõe de uma imagem autorizada para utilização.</w:t>
            </w:r>
          </w:p>
        </w:tc>
      </w:tr>
      <w:tr>
        <w:tc>
          <w:tcPr>
            <w:tcW w:type="dxa" w:w="4896"/>
          </w:tcPr>
          <w:p>
            <w:r>
              <w:t>Fluxo principal</w:t>
            </w:r>
          </w:p>
        </w:tc>
        <w:tc>
          <w:tcPr>
            <w:tcW w:type="dxa" w:w="4896"/>
          </w:tcPr>
          <w:p>
            <w:r>
              <w:t>1. Abrir simulador. 2. Escolher modo fotografia. 3. Enviar ficheiro. 4. Sistema valida tipo, tamanho e segurança. 5. Apresenta pré-visualização.</w:t>
            </w:r>
          </w:p>
        </w:tc>
      </w:tr>
      <w:tr>
        <w:tc>
          <w:tcPr>
            <w:tcW w:type="dxa" w:w="4896"/>
          </w:tcPr>
          <w:p>
            <w:r>
              <w:t>Fluxos alternativos / exceções</w:t>
            </w:r>
          </w:p>
        </w:tc>
        <w:tc>
          <w:tcPr>
            <w:tcW w:type="dxa" w:w="4896"/>
          </w:tcPr>
          <w:p>
            <w:r>
              <w:t>Formato inválido, ficheiro excessivo ou imagem sem rodas visíveis: apresentar mensagem e permitir novo envio.</w:t>
            </w:r>
          </w:p>
        </w:tc>
      </w:tr>
      <w:tr>
        <w:tc>
          <w:tcPr>
            <w:tcW w:type="dxa" w:w="4896"/>
          </w:tcPr>
          <w:p>
            <w:r>
              <w:t>Pós-condições</w:t>
            </w:r>
          </w:p>
        </w:tc>
        <w:tc>
          <w:tcPr>
            <w:tcW w:type="dxa" w:w="4896"/>
          </w:tcPr>
          <w:p>
            <w:r>
              <w:t>Imagem válida associada à sessão/projeto, com acesso controlado.</w:t>
            </w:r>
          </w:p>
        </w:tc>
      </w:tr>
      <w:tr>
        <w:tc>
          <w:tcPr>
            <w:tcW w:type="dxa" w:w="4896"/>
          </w:tcPr>
          <w:p>
            <w:r>
              <w:t>Critério de aceitação</w:t>
            </w:r>
          </w:p>
        </w:tc>
        <w:tc>
          <w:tcPr>
            <w:tcW w:type="dxa" w:w="4896"/>
          </w:tcPr>
          <w:p>
            <w:r>
              <w:t>Rejeição segura de ficheiros inválidos e possibilidade de corrigir upload.</w:t>
            </w:r>
          </w:p>
        </w:tc>
      </w:tr>
    </w:tbl>
    <w:p>
      <w:pPr>
        <w:pStyle w:val="Heading2"/>
      </w:pPr>
      <w:r>
        <w:t>UC04 — Selecionar jante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Elemento</w:t>
            </w:r>
          </w:p>
        </w:tc>
        <w:tc>
          <w:tcPr>
            <w:tcW w:type="dxa" w:w="4896"/>
          </w:tcPr>
          <w:p>
            <w:r>
              <w:t>Descrição</w:t>
            </w:r>
          </w:p>
        </w:tc>
      </w:tr>
      <w:tr>
        <w:tc>
          <w:tcPr>
            <w:tcW w:type="dxa" w:w="4896"/>
          </w:tcPr>
          <w:p>
            <w:r>
              <w:t>Ator principal</w:t>
            </w:r>
          </w:p>
        </w:tc>
        <w:tc>
          <w:tcPr>
            <w:tcW w:type="dxa" w:w="4896"/>
          </w:tcPr>
          <w:p>
            <w:r>
              <w:t>Visitante ou Cliente</w:t>
            </w:r>
          </w:p>
        </w:tc>
      </w:tr>
      <w:tr>
        <w:tc>
          <w:tcPr>
            <w:tcW w:type="dxa" w:w="4896"/>
          </w:tcPr>
          <w:p>
            <w:r>
              <w:t>Pré-condições</w:t>
            </w:r>
          </w:p>
        </w:tc>
        <w:tc>
          <w:tcPr>
            <w:tcW w:type="dxa" w:w="4896"/>
          </w:tcPr>
          <w:p>
            <w:r>
              <w:t>Existem jantes publicadas com recurso visual adequado.</w:t>
            </w:r>
          </w:p>
        </w:tc>
      </w:tr>
      <w:tr>
        <w:tc>
          <w:tcPr>
            <w:tcW w:type="dxa" w:w="4896"/>
          </w:tcPr>
          <w:p>
            <w:r>
              <w:t>Fluxo principal</w:t>
            </w:r>
          </w:p>
        </w:tc>
        <w:tc>
          <w:tcPr>
            <w:tcW w:type="dxa" w:w="4896"/>
          </w:tcPr>
          <w:p>
            <w:r>
              <w:t>1. Abrir catálogo de jantes. 2. Filtrar por marca, tamanho e cor. 3. Ver detalhes. 4. Selecionar jante.</w:t>
            </w:r>
          </w:p>
        </w:tc>
      </w:tr>
      <w:tr>
        <w:tc>
          <w:tcPr>
            <w:tcW w:type="dxa" w:w="4896"/>
          </w:tcPr>
          <w:p>
            <w:r>
              <w:t>Fluxos alternativos / exceções</w:t>
            </w:r>
          </w:p>
        </w:tc>
        <w:tc>
          <w:tcPr>
            <w:tcW w:type="dxa" w:w="4896"/>
          </w:tcPr>
          <w:p>
            <w:r>
              <w:t>Sem recurso visual: não permitir simulação desse item. Compatibilidade desconhecida: sinalizar sem afirmar que é compatível.</w:t>
            </w:r>
          </w:p>
        </w:tc>
      </w:tr>
      <w:tr>
        <w:tc>
          <w:tcPr>
            <w:tcW w:type="dxa" w:w="4896"/>
          </w:tcPr>
          <w:p>
            <w:r>
              <w:t>Pós-condições</w:t>
            </w:r>
          </w:p>
        </w:tc>
        <w:tc>
          <w:tcPr>
            <w:tcW w:type="dxa" w:w="4896"/>
          </w:tcPr>
          <w:p>
            <w:r>
              <w:t>Jante selecionada para a simulação.</w:t>
            </w:r>
          </w:p>
        </w:tc>
      </w:tr>
      <w:tr>
        <w:tc>
          <w:tcPr>
            <w:tcW w:type="dxa" w:w="4896"/>
          </w:tcPr>
          <w:p>
            <w:r>
              <w:t>Critério de aceitação</w:t>
            </w:r>
          </w:p>
        </w:tc>
        <w:tc>
          <w:tcPr>
            <w:tcW w:type="dxa" w:w="4896"/>
          </w:tcPr>
          <w:p>
            <w:r>
              <w:t>A interface apresenta a jante escolhida e informação técnica disponível.</w:t>
            </w:r>
          </w:p>
        </w:tc>
      </w:tr>
    </w:tbl>
    <w:p>
      <w:pPr>
        <w:pStyle w:val="Heading2"/>
      </w:pPr>
      <w:r>
        <w:t>UC05 — Gerar simulação visual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Elemento</w:t>
            </w:r>
          </w:p>
        </w:tc>
        <w:tc>
          <w:tcPr>
            <w:tcW w:type="dxa" w:w="4896"/>
          </w:tcPr>
          <w:p>
            <w:r>
              <w:t>Descrição</w:t>
            </w:r>
          </w:p>
        </w:tc>
      </w:tr>
      <w:tr>
        <w:tc>
          <w:tcPr>
            <w:tcW w:type="dxa" w:w="4896"/>
          </w:tcPr>
          <w:p>
            <w:r>
              <w:t>Ator principal</w:t>
            </w:r>
          </w:p>
        </w:tc>
        <w:tc>
          <w:tcPr>
            <w:tcW w:type="dxa" w:w="4896"/>
          </w:tcPr>
          <w:p>
            <w:r>
              <w:t>Visitante ou Cliente</w:t>
            </w:r>
          </w:p>
        </w:tc>
      </w:tr>
      <w:tr>
        <w:tc>
          <w:tcPr>
            <w:tcW w:type="dxa" w:w="4896"/>
          </w:tcPr>
          <w:p>
            <w:r>
              <w:t>Pré-condições</w:t>
            </w:r>
          </w:p>
        </w:tc>
        <w:tc>
          <w:tcPr>
            <w:tcW w:type="dxa" w:w="4896"/>
          </w:tcPr>
          <w:p>
            <w:r>
              <w:t>Imagem de base válida e jante selecionada.</w:t>
            </w:r>
          </w:p>
        </w:tc>
      </w:tr>
      <w:tr>
        <w:tc>
          <w:tcPr>
            <w:tcW w:type="dxa" w:w="4896"/>
          </w:tcPr>
          <w:p>
            <w:r>
              <w:t>Fluxo principal</w:t>
            </w:r>
          </w:p>
        </w:tc>
        <w:tc>
          <w:tcPr>
            <w:tcW w:type="dxa" w:w="4896"/>
          </w:tcPr>
          <w:p>
            <w:r>
              <w:t>1. Pedir simulação. 2. Criar tarefa de processamento. 3. Detetar rodas/posições. 4. Compor imagem. 5. Apresentar resultado e estado.</w:t>
            </w:r>
          </w:p>
        </w:tc>
      </w:tr>
      <w:tr>
        <w:tc>
          <w:tcPr>
            <w:tcW w:type="dxa" w:w="4896"/>
          </w:tcPr>
          <w:p>
            <w:r>
              <w:t>Fluxos alternativos / exceções</w:t>
            </w:r>
          </w:p>
        </w:tc>
        <w:tc>
          <w:tcPr>
            <w:tcW w:type="dxa" w:w="4896"/>
          </w:tcPr>
          <w:p>
            <w:r>
              <w:t>Deteção falha: permitir ajuste manual. Processamento falha: conservar imagem original e permitir repetir.</w:t>
            </w:r>
          </w:p>
        </w:tc>
      </w:tr>
      <w:tr>
        <w:tc>
          <w:tcPr>
            <w:tcW w:type="dxa" w:w="4896"/>
          </w:tcPr>
          <w:p>
            <w:r>
              <w:t>Pós-condições</w:t>
            </w:r>
          </w:p>
        </w:tc>
        <w:tc>
          <w:tcPr>
            <w:tcW w:type="dxa" w:w="4896"/>
          </w:tcPr>
          <w:p>
            <w:r>
              <w:t>Resultado visual gerado ou erro recuperável comunicado.</w:t>
            </w:r>
          </w:p>
        </w:tc>
      </w:tr>
      <w:tr>
        <w:tc>
          <w:tcPr>
            <w:tcW w:type="dxa" w:w="4896"/>
          </w:tcPr>
          <w:p>
            <w:r>
              <w:t>Critério de aceitação</w:t>
            </w:r>
          </w:p>
        </w:tc>
        <w:tc>
          <w:tcPr>
            <w:tcW w:type="dxa" w:w="4896"/>
          </w:tcPr>
          <w:p>
            <w:r>
              <w:t>Resultado preserva o veículo e distingue claramente simulação visual de validação técnica.</w:t>
            </w:r>
          </w:p>
        </w:tc>
      </w:tr>
    </w:tbl>
    <w:p>
      <w:pPr>
        <w:pStyle w:val="Heading2"/>
      </w:pPr>
      <w:r>
        <w:t>UC06 — Ajustar jantes manualmente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Elemento</w:t>
            </w:r>
          </w:p>
        </w:tc>
        <w:tc>
          <w:tcPr>
            <w:tcW w:type="dxa" w:w="4896"/>
          </w:tcPr>
          <w:p>
            <w:r>
              <w:t>Descrição</w:t>
            </w:r>
          </w:p>
        </w:tc>
      </w:tr>
      <w:tr>
        <w:tc>
          <w:tcPr>
            <w:tcW w:type="dxa" w:w="4896"/>
          </w:tcPr>
          <w:p>
            <w:r>
              <w:t>Ator principal</w:t>
            </w:r>
          </w:p>
        </w:tc>
        <w:tc>
          <w:tcPr>
            <w:tcW w:type="dxa" w:w="4896"/>
          </w:tcPr>
          <w:p>
            <w:r>
              <w:t>Visitante ou Cliente</w:t>
            </w:r>
          </w:p>
        </w:tc>
      </w:tr>
      <w:tr>
        <w:tc>
          <w:tcPr>
            <w:tcW w:type="dxa" w:w="4896"/>
          </w:tcPr>
          <w:p>
            <w:r>
              <w:t>Pré-condições</w:t>
            </w:r>
          </w:p>
        </w:tc>
        <w:tc>
          <w:tcPr>
            <w:tcW w:type="dxa" w:w="4896"/>
          </w:tcPr>
          <w:p>
            <w:r>
              <w:t>Simulação iniciada; imagem e jante disponíveis.</w:t>
            </w:r>
          </w:p>
        </w:tc>
      </w:tr>
      <w:tr>
        <w:tc>
          <w:tcPr>
            <w:tcW w:type="dxa" w:w="4896"/>
          </w:tcPr>
          <w:p>
            <w:r>
              <w:t>Fluxo principal</w:t>
            </w:r>
          </w:p>
        </w:tc>
        <w:tc>
          <w:tcPr>
            <w:tcW w:type="dxa" w:w="4896"/>
          </w:tcPr>
          <w:p>
            <w:r>
              <w:t>1. Selecionar roda. 2. Ajustar posição, escala e rotação. 3. Pré-visualizar alterações. 4. Confirmar composição.</w:t>
            </w:r>
          </w:p>
        </w:tc>
      </w:tr>
      <w:tr>
        <w:tc>
          <w:tcPr>
            <w:tcW w:type="dxa" w:w="4896"/>
          </w:tcPr>
          <w:p>
            <w:r>
              <w:t>Fluxos alternativos / exceções</w:t>
            </w:r>
          </w:p>
        </w:tc>
        <w:tc>
          <w:tcPr>
            <w:tcW w:type="dxa" w:w="4896"/>
          </w:tcPr>
          <w:p>
            <w:r>
              <w:t>Posição fora da imagem ou escala inválida: impedir confirmação ou corrigir limites.</w:t>
            </w:r>
          </w:p>
        </w:tc>
      </w:tr>
      <w:tr>
        <w:tc>
          <w:tcPr>
            <w:tcW w:type="dxa" w:w="4896"/>
          </w:tcPr>
          <w:p>
            <w:r>
              <w:t>Pós-condições</w:t>
            </w:r>
          </w:p>
        </w:tc>
        <w:tc>
          <w:tcPr>
            <w:tcW w:type="dxa" w:w="4896"/>
          </w:tcPr>
          <w:p>
            <w:r>
              <w:t>Parâmetros de transformação atualizados.</w:t>
            </w:r>
          </w:p>
        </w:tc>
      </w:tr>
      <w:tr>
        <w:tc>
          <w:tcPr>
            <w:tcW w:type="dxa" w:w="4896"/>
          </w:tcPr>
          <w:p>
            <w:r>
              <w:t>Critério de aceitação</w:t>
            </w:r>
          </w:p>
        </w:tc>
        <w:tc>
          <w:tcPr>
            <w:tcW w:type="dxa" w:w="4896"/>
          </w:tcPr>
          <w:p>
            <w:r>
              <w:t>Utilizador consegue corrigir o posicionamento quando a deteção automática é imprecisa.</w:t>
            </w:r>
          </w:p>
        </w:tc>
      </w:tr>
    </w:tbl>
    <w:p>
      <w:pPr>
        <w:pStyle w:val="Heading2"/>
      </w:pPr>
      <w:r>
        <w:t>UC07 — Comparar antes/depois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Elemento</w:t>
            </w:r>
          </w:p>
        </w:tc>
        <w:tc>
          <w:tcPr>
            <w:tcW w:type="dxa" w:w="4896"/>
          </w:tcPr>
          <w:p>
            <w:r>
              <w:t>Descrição</w:t>
            </w:r>
          </w:p>
        </w:tc>
      </w:tr>
      <w:tr>
        <w:tc>
          <w:tcPr>
            <w:tcW w:type="dxa" w:w="4896"/>
          </w:tcPr>
          <w:p>
            <w:r>
              <w:t>Ator principal</w:t>
            </w:r>
          </w:p>
        </w:tc>
        <w:tc>
          <w:tcPr>
            <w:tcW w:type="dxa" w:w="4896"/>
          </w:tcPr>
          <w:p>
            <w:r>
              <w:t>Visitante ou Cliente</w:t>
            </w:r>
          </w:p>
        </w:tc>
      </w:tr>
      <w:tr>
        <w:tc>
          <w:tcPr>
            <w:tcW w:type="dxa" w:w="4896"/>
          </w:tcPr>
          <w:p>
            <w:r>
              <w:t>Pré-condições</w:t>
            </w:r>
          </w:p>
        </w:tc>
        <w:tc>
          <w:tcPr>
            <w:tcW w:type="dxa" w:w="4896"/>
          </w:tcPr>
          <w:p>
            <w:r>
              <w:t>Imagem original e resultado disponíveis.</w:t>
            </w:r>
          </w:p>
        </w:tc>
      </w:tr>
      <w:tr>
        <w:tc>
          <w:tcPr>
            <w:tcW w:type="dxa" w:w="4896"/>
          </w:tcPr>
          <w:p>
            <w:r>
              <w:t>Fluxo principal</w:t>
            </w:r>
          </w:p>
        </w:tc>
        <w:tc>
          <w:tcPr>
            <w:tcW w:type="dxa" w:w="4896"/>
          </w:tcPr>
          <w:p>
            <w:r>
              <w:t>1. Abrir comparação. 2. Alternar ou mover divisor antes/depois. 3. Regressar ao editor.</w:t>
            </w:r>
          </w:p>
        </w:tc>
      </w:tr>
      <w:tr>
        <w:tc>
          <w:tcPr>
            <w:tcW w:type="dxa" w:w="4896"/>
          </w:tcPr>
          <w:p>
            <w:r>
              <w:t>Fluxos alternativos / exceções</w:t>
            </w:r>
          </w:p>
        </w:tc>
        <w:tc>
          <w:tcPr>
            <w:tcW w:type="dxa" w:w="4896"/>
          </w:tcPr>
          <w:p>
            <w:r>
              <w:t>Resultado ainda em processamento: mostrar estado e desativar comparação.</w:t>
            </w:r>
          </w:p>
        </w:tc>
      </w:tr>
      <w:tr>
        <w:tc>
          <w:tcPr>
            <w:tcW w:type="dxa" w:w="4896"/>
          </w:tcPr>
          <w:p>
            <w:r>
              <w:t>Pós-condições</w:t>
            </w:r>
          </w:p>
        </w:tc>
        <w:tc>
          <w:tcPr>
            <w:tcW w:type="dxa" w:w="4896"/>
          </w:tcPr>
          <w:p>
            <w:r>
              <w:t>Nenhuma alteração obrigatória aos dados.</w:t>
            </w:r>
          </w:p>
        </w:tc>
      </w:tr>
      <w:tr>
        <w:tc>
          <w:tcPr>
            <w:tcW w:type="dxa" w:w="4896"/>
          </w:tcPr>
          <w:p>
            <w:r>
              <w:t>Critério de aceitação</w:t>
            </w:r>
          </w:p>
        </w:tc>
        <w:tc>
          <w:tcPr>
            <w:tcW w:type="dxa" w:w="4896"/>
          </w:tcPr>
          <w:p>
            <w:r>
              <w:t>As duas imagens correspondem à mesma origem e ao mesmo enquadramento.</w:t>
            </w:r>
          </w:p>
        </w:tc>
      </w:tr>
    </w:tbl>
    <w:p>
      <w:pPr>
        <w:pStyle w:val="Heading2"/>
      </w:pPr>
      <w:r>
        <w:t>UC10 — Guardar projeto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Elemento</w:t>
            </w:r>
          </w:p>
        </w:tc>
        <w:tc>
          <w:tcPr>
            <w:tcW w:type="dxa" w:w="4896"/>
          </w:tcPr>
          <w:p>
            <w:r>
              <w:t>Descrição</w:t>
            </w:r>
          </w:p>
        </w:tc>
      </w:tr>
      <w:tr>
        <w:tc>
          <w:tcPr>
            <w:tcW w:type="dxa" w:w="4896"/>
          </w:tcPr>
          <w:p>
            <w:r>
              <w:t>Ator principal</w:t>
            </w:r>
          </w:p>
        </w:tc>
        <w:tc>
          <w:tcPr>
            <w:tcW w:type="dxa" w:w="4896"/>
          </w:tcPr>
          <w:p>
            <w:r>
              <w:t>Cliente</w:t>
            </w:r>
          </w:p>
        </w:tc>
      </w:tr>
      <w:tr>
        <w:tc>
          <w:tcPr>
            <w:tcW w:type="dxa" w:w="4896"/>
          </w:tcPr>
          <w:p>
            <w:r>
              <w:t>Pré-condições</w:t>
            </w:r>
          </w:p>
        </w:tc>
        <w:tc>
          <w:tcPr>
            <w:tcW w:type="dxa" w:w="4896"/>
          </w:tcPr>
          <w:p>
            <w:r>
              <w:t>Sessão autenticada e personalização válida.</w:t>
            </w:r>
          </w:p>
        </w:tc>
      </w:tr>
      <w:tr>
        <w:tc>
          <w:tcPr>
            <w:tcW w:type="dxa" w:w="4896"/>
          </w:tcPr>
          <w:p>
            <w:r>
              <w:t>Fluxo principal</w:t>
            </w:r>
          </w:p>
        </w:tc>
        <w:tc>
          <w:tcPr>
            <w:tcW w:type="dxa" w:w="4896"/>
          </w:tcPr>
          <w:p>
            <w:r>
              <w:t>1. Selecionar Guardar. 2. Definir nome do projeto. 3. Persistir origem, acessórios, transformações e imagem resultante. 4. Confirmar.</w:t>
            </w:r>
          </w:p>
        </w:tc>
      </w:tr>
      <w:tr>
        <w:tc>
          <w:tcPr>
            <w:tcW w:type="dxa" w:w="4896"/>
          </w:tcPr>
          <w:p>
            <w:r>
              <w:t>Fluxos alternativos / exceções</w:t>
            </w:r>
          </w:p>
        </w:tc>
        <w:tc>
          <w:tcPr>
            <w:tcW w:type="dxa" w:w="4896"/>
          </w:tcPr>
          <w:p>
            <w:r>
              <w:t>Sessão expirada: solicitar autenticação. Falha de armazenamento: informar sem perder estado local imediato.</w:t>
            </w:r>
          </w:p>
        </w:tc>
      </w:tr>
      <w:tr>
        <w:tc>
          <w:tcPr>
            <w:tcW w:type="dxa" w:w="4896"/>
          </w:tcPr>
          <w:p>
            <w:r>
              <w:t>Pós-condições</w:t>
            </w:r>
          </w:p>
        </w:tc>
        <w:tc>
          <w:tcPr>
            <w:tcW w:type="dxa" w:w="4896"/>
          </w:tcPr>
          <w:p>
            <w:r>
              <w:t>Projeto persistido e associado ao proprietário.</w:t>
            </w:r>
          </w:p>
        </w:tc>
      </w:tr>
      <w:tr>
        <w:tc>
          <w:tcPr>
            <w:tcW w:type="dxa" w:w="4896"/>
          </w:tcPr>
          <w:p>
            <w:r>
              <w:t>Critério de aceitação</w:t>
            </w:r>
          </w:p>
        </w:tc>
        <w:tc>
          <w:tcPr>
            <w:tcW w:type="dxa" w:w="4896"/>
          </w:tcPr>
          <w:p>
            <w:r>
              <w:t>O cliente consegue reabrir o projeto com os elementos essenciais.</w:t>
            </w:r>
          </w:p>
        </w:tc>
      </w:tr>
    </w:tbl>
    <w:p>
      <w:pPr>
        <w:pStyle w:val="Heading2"/>
      </w:pPr>
      <w:r>
        <w:t>UC14/UC15 — Administrar catálogos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Elemento</w:t>
            </w:r>
          </w:p>
        </w:tc>
        <w:tc>
          <w:tcPr>
            <w:tcW w:type="dxa" w:w="4896"/>
          </w:tcPr>
          <w:p>
            <w:r>
              <w:t>Descrição</w:t>
            </w:r>
          </w:p>
        </w:tc>
      </w:tr>
      <w:tr>
        <w:tc>
          <w:tcPr>
            <w:tcW w:type="dxa" w:w="4896"/>
          </w:tcPr>
          <w:p>
            <w:r>
              <w:t>Ator principal</w:t>
            </w:r>
          </w:p>
        </w:tc>
        <w:tc>
          <w:tcPr>
            <w:tcW w:type="dxa" w:w="4896"/>
          </w:tcPr>
          <w:p>
            <w:r>
              <w:t>Administrador</w:t>
            </w:r>
          </w:p>
        </w:tc>
      </w:tr>
      <w:tr>
        <w:tc>
          <w:tcPr>
            <w:tcW w:type="dxa" w:w="4896"/>
          </w:tcPr>
          <w:p>
            <w:r>
              <w:t>Pré-condições</w:t>
            </w:r>
          </w:p>
        </w:tc>
        <w:tc>
          <w:tcPr>
            <w:tcW w:type="dxa" w:w="4896"/>
          </w:tcPr>
          <w:p>
            <w:r>
              <w:t>Sessão autenticada com permissões de administração.</w:t>
            </w:r>
          </w:p>
        </w:tc>
      </w:tr>
      <w:tr>
        <w:tc>
          <w:tcPr>
            <w:tcW w:type="dxa" w:w="4896"/>
          </w:tcPr>
          <w:p>
            <w:r>
              <w:t>Fluxo principal</w:t>
            </w:r>
          </w:p>
        </w:tc>
        <w:tc>
          <w:tcPr>
            <w:tcW w:type="dxa" w:w="4896"/>
          </w:tcPr>
          <w:p>
            <w:r>
              <w:t>1. Abrir área administrativa. 2. Criar ou editar marcas, veículos, categorias e jantes. 3. Validar dados e recursos. 4. Publicar ou desativar registo.</w:t>
            </w:r>
          </w:p>
        </w:tc>
      </w:tr>
      <w:tr>
        <w:tc>
          <w:tcPr>
            <w:tcW w:type="dxa" w:w="4896"/>
          </w:tcPr>
          <w:p>
            <w:r>
              <w:t>Fluxos alternativos / exceções</w:t>
            </w:r>
          </w:p>
        </w:tc>
        <w:tc>
          <w:tcPr>
            <w:tcW w:type="dxa" w:w="4896"/>
          </w:tcPr>
          <w:p>
            <w:r>
              <w:t>Duplicados ou ficheiros inválidos: rejeitar e indicar campos. Item usado em projetos: preferir desativação em vez de eliminação destrutiva.</w:t>
            </w:r>
          </w:p>
        </w:tc>
      </w:tr>
      <w:tr>
        <w:tc>
          <w:tcPr>
            <w:tcW w:type="dxa" w:w="4896"/>
          </w:tcPr>
          <w:p>
            <w:r>
              <w:t>Pós-condições</w:t>
            </w:r>
          </w:p>
        </w:tc>
        <w:tc>
          <w:tcPr>
            <w:tcW w:type="dxa" w:w="4896"/>
          </w:tcPr>
          <w:p>
            <w:r>
              <w:t>Catálogo atualizado e rastreável.</w:t>
            </w:r>
          </w:p>
        </w:tc>
      </w:tr>
      <w:tr>
        <w:tc>
          <w:tcPr>
            <w:tcW w:type="dxa" w:w="4896"/>
          </w:tcPr>
          <w:p>
            <w:r>
              <w:t>Critério de aceitação</w:t>
            </w:r>
          </w:p>
        </w:tc>
        <w:tc>
          <w:tcPr>
            <w:tcW w:type="dxa" w:w="4896"/>
          </w:tcPr>
          <w:p>
            <w:r>
              <w:t>Apenas administradores podem alterar dados; itens publicados são consultáveis no simulador.</w:t>
            </w:r>
          </w:p>
        </w:tc>
      </w:tr>
    </w:tbl>
    <w:p>
      <w:pPr>
        <w:pStyle w:val="Heading1"/>
      </w:pPr>
      <w:r>
        <w:t>6. Relações e dependências</w:t>
      </w:r>
    </w:p>
    <w:p>
      <w:pPr>
        <w:pStyle w:val="ListBullet"/>
      </w:pPr>
      <w:r>
        <w:t>UC05 depende de UC02 ou UC03, e de UC04.</w:t>
      </w:r>
    </w:p>
    <w:p>
      <w:pPr>
        <w:pStyle w:val="ListBullet"/>
      </w:pPr>
      <w:r>
        <w:t>UC06 estende UC05 quando é necessário corrigir o posicionamento.</w:t>
      </w:r>
    </w:p>
    <w:p>
      <w:pPr>
        <w:pStyle w:val="ListBullet"/>
      </w:pPr>
      <w:r>
        <w:t>UC07 exige uma simulação concluída.</w:t>
      </w:r>
    </w:p>
    <w:p>
      <w:pPr>
        <w:pStyle w:val="ListBullet"/>
      </w:pPr>
      <w:r>
        <w:t>UC10, UC11, UC12 e UC13 exigem autenticação, de acordo com a política de acesso.</w:t>
      </w:r>
    </w:p>
    <w:p>
      <w:pPr>
        <w:pStyle w:val="ListBullet"/>
      </w:pPr>
      <w:r>
        <w:t>UC14, UC15 e UC16 exigem perfil Administrador.</w:t>
      </w:r>
    </w:p>
    <w:p>
      <w:pPr>
        <w:pStyle w:val="Heading1"/>
      </w:pPr>
      <w:r>
        <w:t>7. Regras transversais</w:t>
      </w:r>
    </w:p>
    <w:p>
      <w:pPr>
        <w:pStyle w:val="ListBullet"/>
      </w:pPr>
      <w:r>
        <w:t>A pré-visualização não certifica a compatibilidade mecânica das jantes.</w:t>
      </w:r>
    </w:p>
    <w:p>
      <w:pPr>
        <w:pStyle w:val="ListBullet"/>
      </w:pPr>
      <w:r>
        <w:t>Fotografias dos clientes são privadas por defeito e não devem ser publicadas no catálogo sem autorização.</w:t>
      </w:r>
    </w:p>
    <w:p>
      <w:pPr>
        <w:pStyle w:val="ListBullet"/>
      </w:pPr>
      <w:r>
        <w:t>Os ficheiros carregados devem ser validados; o acesso aos resultados deve ser controlado.</w:t>
      </w:r>
    </w:p>
    <w:p>
      <w:pPr>
        <w:pStyle w:val="ListBullet"/>
      </w:pPr>
      <w:r>
        <w:t>Um visitante pode simular sem conta, mas guardar projetos exige autenticação.</w:t>
      </w:r>
    </w:p>
    <w:p>
      <w:pPr>
        <w:pStyle w:val="ListBullet"/>
      </w:pPr>
      <w:r>
        <w:t>Falhas no processamento não devem eliminar a imagem original.</w:t>
      </w:r>
    </w:p>
    <w:p>
      <w:pPr>
        <w:pStyle w:val="ListBullet"/>
      </w:pPr>
      <w:r>
        <w:t>O sistema não apresenta nem calcula preços, custos ou orçamentos.</w:t>
      </w:r>
    </w:p>
    <w:p>
      <w:pPr>
        <w:pStyle w:val="Heading1"/>
      </w:pPr>
      <w:r>
        <w:t>8. Questões a validar</w:t>
      </w:r>
    </w:p>
    <w:p>
      <w:pPr>
        <w:pStyle w:val="ListBullet"/>
      </w:pPr>
      <w:r>
        <w:t>Definir limites de upload (formato, tamanho e resolução).</w:t>
      </w:r>
    </w:p>
    <w:p>
      <w:pPr>
        <w:pStyle w:val="ListBullet"/>
      </w:pPr>
      <w:r>
        <w:t>Decidir se visitantes podem exportar imagens sem conta.</w:t>
      </w:r>
    </w:p>
    <w:p>
      <w:pPr>
        <w:pStyle w:val="ListBullet"/>
      </w:pPr>
      <w:r>
        <w:t>Confirmar se a compatibilidade técnica será obrigatória ou apenas informativa na primeira versão.</w:t>
      </w:r>
    </w:p>
    <w:p>
      <w:pPr>
        <w:pStyle w:val="ListBullet"/>
      </w:pPr>
      <w:r>
        <w:t>Definir política de retenção e eliminação de fotografias e resultados.</w:t>
      </w:r>
    </w:p>
    <w:p>
      <w:pPr>
        <w:pStyle w:val="ListBullet"/>
      </w:pPr>
      <w:r>
        <w:t>Definir disponibilidade de imagens de catálogo e respetivos direitos de utilização.</w:t>
      </w:r>
    </w:p>
    <w:p>
      <w:pPr>
        <w:pStyle w:val="Heading1"/>
      </w:pPr>
      <w:r>
        <w:t>9. Rastreabilidade inicial</w:t>
      </w:r>
    </w:p>
    <w:p>
      <w:r>
        <w:t>UC02–UC07 cobrem a seleção do veículo/fotografia, jantes e simulação; UC10–UC13 cobrem projetos; UC14–UC16 cobrem administração. Os identificadores RF e RN dos documentos anteriores devem ser conferidos na revisão cruzada antes da aprovação final.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224" w:bottom="979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AV-DOC-004  •  Versão 1.0  •  21/10/2026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AUTOVISION  /  ENGENHARIA DE REQUISITOS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45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45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452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