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AutoVision</w:t>
      </w:r>
    </w:p>
    <w:p>
      <w:pPr>
        <w:pStyle w:val="Subtitle"/>
      </w:pPr>
      <w:r>
        <w:t>Especificação de Requisitos Funcionais e Não Funcionais</w:t>
      </w:r>
    </w:p>
    <w:p>
      <w:r>
        <w:t>AV-DOC-002 | Versão 1.0 | 21 de outubro de 2026 | Estado: Proposta para validação</w:t>
      </w:r>
    </w:p>
    <w:p>
      <w:pPr>
        <w:pStyle w:val="Heading1"/>
      </w:pPr>
      <w:r>
        <w:t>Controlo documental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Campo</w:t>
            </w:r>
          </w:p>
        </w:tc>
        <w:tc>
          <w:tcPr>
            <w:tcW w:type="dxa" w:w="4759"/>
          </w:tcPr>
          <w:p>
            <w:r>
              <w:t>Valor</w:t>
            </w:r>
          </w:p>
        </w:tc>
      </w:tr>
      <w:tr>
        <w:tc>
          <w:tcPr>
            <w:tcW w:type="dxa" w:w="4759"/>
          </w:tcPr>
          <w:p>
            <w:r>
              <w:t>Projeto</w:t>
            </w:r>
          </w:p>
        </w:tc>
        <w:tc>
          <w:tcPr>
            <w:tcW w:type="dxa" w:w="4759"/>
          </w:tcPr>
          <w:p>
            <w:r>
              <w:t>AutoVision — Sistema de Visualização e Personalização Automóvel</w:t>
            </w:r>
          </w:p>
        </w:tc>
      </w:tr>
      <w:tr>
        <w:tc>
          <w:tcPr>
            <w:tcW w:type="dxa" w:w="4759"/>
          </w:tcPr>
          <w:p>
            <w:r>
              <w:t>Documento</w:t>
            </w:r>
          </w:p>
        </w:tc>
        <w:tc>
          <w:tcPr>
            <w:tcW w:type="dxa" w:w="4759"/>
          </w:tcPr>
          <w:p>
            <w:r>
              <w:t>Especificação de Requisitos (ERS)</w:t>
            </w:r>
          </w:p>
        </w:tc>
      </w:tr>
      <w:tr>
        <w:tc>
          <w:tcPr>
            <w:tcW w:type="dxa" w:w="4759"/>
          </w:tcPr>
          <w:p>
            <w:r>
              <w:t>Código</w:t>
            </w:r>
          </w:p>
        </w:tc>
        <w:tc>
          <w:tcPr>
            <w:tcW w:type="dxa" w:w="4759"/>
          </w:tcPr>
          <w:p>
            <w:r>
              <w:t>AV-DOC-002</w:t>
            </w:r>
          </w:p>
        </w:tc>
      </w:tr>
      <w:tr>
        <w:tc>
          <w:tcPr>
            <w:tcW w:type="dxa" w:w="4759"/>
          </w:tcPr>
          <w:p>
            <w:r>
              <w:t>Versão</w:t>
            </w:r>
          </w:p>
        </w:tc>
        <w:tc>
          <w:tcPr>
            <w:tcW w:type="dxa" w:w="4759"/>
          </w:tcPr>
          <w:p>
            <w:r>
              <w:t>1.0</w:t>
            </w:r>
          </w:p>
        </w:tc>
      </w:tr>
      <w:tr>
        <w:tc>
          <w:tcPr>
            <w:tcW w:type="dxa" w:w="4759"/>
          </w:tcPr>
          <w:p>
            <w:r>
              <w:t>Estado</w:t>
            </w:r>
          </w:p>
        </w:tc>
        <w:tc>
          <w:tcPr>
            <w:tcW w:type="dxa" w:w="4759"/>
          </w:tcPr>
          <w:p>
            <w:r>
              <w:t>Proposta para revisão e aprovação</w:t>
            </w:r>
          </w:p>
        </w:tc>
      </w:tr>
      <w:tr>
        <w:tc>
          <w:tcPr>
            <w:tcW w:type="dxa" w:w="4759"/>
          </w:tcPr>
          <w:p>
            <w:r>
              <w:t>Documento relacionado</w:t>
            </w:r>
          </w:p>
        </w:tc>
        <w:tc>
          <w:tcPr>
            <w:tcW w:type="dxa" w:w="4759"/>
          </w:tcPr>
          <w:p>
            <w:r>
              <w:t>AV-DOC-001 — Documento de Visão</w:t>
            </w:r>
          </w:p>
        </w:tc>
      </w:tr>
    </w:tbl>
    <w:p/>
    <w:p>
      <w:pPr>
        <w:pStyle w:val="Heading1"/>
      </w:pPr>
      <w:r>
        <w:t>1. Introdução</w:t>
      </w:r>
    </w:p>
    <w:p>
      <w:r>
        <w:t>Esta especificação define os requisitos verificáveis da primeira versão do AutoVision. A plataforma permite experimentar visualmente acessórios automóveis em fotografias fornecidas pelos utilizadores ou em veículos de um catálogo administrado.</w:t>
      </w:r>
    </w:p>
    <w:p>
      <w:pPr>
        <w:pStyle w:val="Heading2"/>
      </w:pPr>
      <w:r>
        <w:t>1.1 Âmbito e exclusões</w:t>
      </w:r>
    </w:p>
    <w:p>
      <w:r>
        <w:t>Incluído: autenticação, catálogo de veículos, catálogo de acessórios, carregamento de fotografias, pré-visualização 2D de jantes, ajustes manuais, comparação antes/depois, projetos guardados e exportação de imagens. Excluído: preços, custos, stock, compras, vendas, encomendas, pagamentos, faturação e orçamentos. A visualização 3D e a edição generativa por IA ficam previstas para evolução futura.</w:t>
      </w:r>
    </w:p>
    <w:p>
      <w:pPr>
        <w:pStyle w:val="Heading2"/>
      </w:pPr>
      <w:r>
        <w:t>1.2 Convenções</w:t>
      </w:r>
    </w:p>
    <w:p>
      <w:r>
        <w:t>RF = requisito funcional; RNF = requisito não funcional; RN = regra de negócio. Prioridades: P0 (essencial para o MVP), P1 (importante), P2 (futuro). Cada requisito possui critérios de aceitação observáveis.</w:t>
      </w:r>
    </w:p>
    <w:p>
      <w:pPr>
        <w:pStyle w:val="Heading1"/>
      </w:pPr>
      <w:r>
        <w:t>2. Perfis e permissões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Perfil</w:t>
            </w:r>
          </w:p>
        </w:tc>
        <w:tc>
          <w:tcPr>
            <w:tcW w:type="dxa" w:w="4759"/>
          </w:tcPr>
          <w:p>
            <w:r>
              <w:t>Permissões previstas</w:t>
            </w:r>
          </w:p>
        </w:tc>
      </w:tr>
      <w:tr>
        <w:tc>
          <w:tcPr>
            <w:tcW w:type="dxa" w:w="4759"/>
          </w:tcPr>
          <w:p>
            <w:r>
              <w:t>Visitante</w:t>
            </w:r>
          </w:p>
        </w:tc>
        <w:tc>
          <w:tcPr>
            <w:tcW w:type="dxa" w:w="4759"/>
          </w:tcPr>
          <w:p>
            <w:r>
              <w:t>Consultar catálogos e experimentar uma simulação temporária, sem guardar projetos na conta.</w:t>
            </w:r>
          </w:p>
        </w:tc>
      </w:tr>
      <w:tr>
        <w:tc>
          <w:tcPr>
            <w:tcW w:type="dxa" w:w="4759"/>
          </w:tcPr>
          <w:p>
            <w:r>
              <w:t>Cliente autenticado</w:t>
            </w:r>
          </w:p>
        </w:tc>
        <w:tc>
          <w:tcPr>
            <w:tcW w:type="dxa" w:w="4759"/>
          </w:tcPr>
          <w:p>
            <w:r>
              <w:t>Criar, consultar, editar e eliminar os próprios projetos; exportar resultados.</w:t>
            </w:r>
          </w:p>
        </w:tc>
      </w:tr>
      <w:tr>
        <w:tc>
          <w:tcPr>
            <w:tcW w:type="dxa" w:w="4759"/>
          </w:tcPr>
          <w:p>
            <w:r>
              <w:t>Administrador</w:t>
            </w:r>
          </w:p>
        </w:tc>
        <w:tc>
          <w:tcPr>
            <w:tcW w:type="dxa" w:w="4759"/>
          </w:tcPr>
          <w:p>
            <w:r>
              <w:t>Gerir catálogos, recursos visuais, categorias e contas, conforme permissões.</w:t>
            </w:r>
          </w:p>
        </w:tc>
      </w:tr>
    </w:tbl>
    <w:p/>
    <w:p>
      <w:pPr>
        <w:pStyle w:val="Heading1"/>
      </w:pPr>
      <w:r>
        <w:t>3. Requisitos funcionais</w:t>
      </w:r>
    </w:p>
    <w:p>
      <w:pPr>
        <w:pStyle w:val="Heading2"/>
      </w:pPr>
      <w:r>
        <w:t>3.1 Contas e acesso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t>ID</w:t>
            </w:r>
          </w:p>
        </w:tc>
        <w:tc>
          <w:tcPr>
            <w:tcW w:type="dxa" w:w="2379"/>
          </w:tcPr>
          <w:p>
            <w:r>
              <w:t>Descrição</w:t>
            </w:r>
          </w:p>
        </w:tc>
        <w:tc>
          <w:tcPr>
            <w:tcW w:type="dxa" w:w="2379"/>
          </w:tcPr>
          <w:p>
            <w:r>
              <w:t>Prior.</w:t>
            </w:r>
          </w:p>
        </w:tc>
        <w:tc>
          <w:tcPr>
            <w:tcW w:type="dxa" w:w="2379"/>
          </w:tcPr>
          <w:p>
            <w:r>
              <w:t>Critério de aceitação</w:t>
            </w:r>
          </w:p>
        </w:tc>
      </w:tr>
      <w:tr>
        <w:tc>
          <w:tcPr>
            <w:tcW w:type="dxa" w:w="2379"/>
          </w:tcPr>
          <w:p>
            <w:r>
              <w:t>RF001</w:t>
            </w:r>
          </w:p>
        </w:tc>
        <w:tc>
          <w:tcPr>
            <w:tcW w:type="dxa" w:w="2379"/>
          </w:tcPr>
          <w:p>
            <w:r>
              <w:t>Registar conta de cliente</w:t>
            </w:r>
          </w:p>
        </w:tc>
        <w:tc>
          <w:tcPr>
            <w:tcW w:type="dxa" w:w="2379"/>
          </w:tcPr>
          <w:p>
            <w:r>
              <w:t>P0</w:t>
            </w:r>
          </w:p>
        </w:tc>
        <w:tc>
          <w:tcPr>
            <w:tcW w:type="dxa" w:w="2379"/>
          </w:tcPr>
          <w:p>
            <w:r>
              <w:t>Conta criada com dados válidos; e-mail duplicado rejeitado.</w:t>
            </w:r>
          </w:p>
        </w:tc>
      </w:tr>
      <w:tr>
        <w:tc>
          <w:tcPr>
            <w:tcW w:type="dxa" w:w="2379"/>
          </w:tcPr>
          <w:p>
            <w:r>
              <w:t>RF002</w:t>
            </w:r>
          </w:p>
        </w:tc>
        <w:tc>
          <w:tcPr>
            <w:tcW w:type="dxa" w:w="2379"/>
          </w:tcPr>
          <w:p>
            <w:r>
              <w:t>Autenticar e terminar sessão</w:t>
            </w:r>
          </w:p>
        </w:tc>
        <w:tc>
          <w:tcPr>
            <w:tcW w:type="dxa" w:w="2379"/>
          </w:tcPr>
          <w:p>
            <w:r>
              <w:t>P0</w:t>
            </w:r>
          </w:p>
        </w:tc>
        <w:tc>
          <w:tcPr>
            <w:tcW w:type="dxa" w:w="2379"/>
          </w:tcPr>
          <w:p>
            <w:r>
              <w:t>Credenciais válidas dão acesso; sessão inválida é recusada.</w:t>
            </w:r>
          </w:p>
        </w:tc>
      </w:tr>
      <w:tr>
        <w:tc>
          <w:tcPr>
            <w:tcW w:type="dxa" w:w="2379"/>
          </w:tcPr>
          <w:p>
            <w:r>
              <w:t>RF003</w:t>
            </w:r>
          </w:p>
        </w:tc>
        <w:tc>
          <w:tcPr>
            <w:tcW w:type="dxa" w:w="2379"/>
          </w:tcPr>
          <w:p>
            <w:r>
              <w:t>Aplicar controlo de acesso por perfil</w:t>
            </w:r>
          </w:p>
        </w:tc>
        <w:tc>
          <w:tcPr>
            <w:tcW w:type="dxa" w:w="2379"/>
          </w:tcPr>
          <w:p>
            <w:r>
              <w:t>P0</w:t>
            </w:r>
          </w:p>
        </w:tc>
        <w:tc>
          <w:tcPr>
            <w:tcW w:type="dxa" w:w="2379"/>
          </w:tcPr>
          <w:p>
            <w:r>
              <w:t>Cliente não acede à administração nem a projetos alheios.</w:t>
            </w:r>
          </w:p>
        </w:tc>
      </w:tr>
      <w:tr>
        <w:tc>
          <w:tcPr>
            <w:tcW w:type="dxa" w:w="2379"/>
          </w:tcPr>
          <w:p>
            <w:r>
              <w:t>RF004</w:t>
            </w:r>
          </w:p>
        </w:tc>
        <w:tc>
          <w:tcPr>
            <w:tcW w:type="dxa" w:w="2379"/>
          </w:tcPr>
          <w:p>
            <w:r>
              <w:t>Recuperar acesso à conta</w:t>
            </w:r>
          </w:p>
        </w:tc>
        <w:tc>
          <w:tcPr>
            <w:tcW w:type="dxa" w:w="2379"/>
          </w:tcPr>
          <w:p>
            <w:r>
              <w:t>P1</w:t>
            </w:r>
          </w:p>
        </w:tc>
        <w:tc>
          <w:tcPr>
            <w:tcW w:type="dxa" w:w="2379"/>
          </w:tcPr>
          <w:p>
            <w:r>
              <w:t>Pedido de recuperação usa token temporário e de utilização única.</w:t>
            </w:r>
          </w:p>
        </w:tc>
      </w:tr>
    </w:tbl>
    <w:p/>
    <w:p>
      <w:pPr>
        <w:pStyle w:val="Heading2"/>
      </w:pPr>
      <w:r>
        <w:t>3.2 Catálogo de veículos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t>ID</w:t>
            </w:r>
          </w:p>
        </w:tc>
        <w:tc>
          <w:tcPr>
            <w:tcW w:type="dxa" w:w="2379"/>
          </w:tcPr>
          <w:p>
            <w:r>
              <w:t>Descrição</w:t>
            </w:r>
          </w:p>
        </w:tc>
        <w:tc>
          <w:tcPr>
            <w:tcW w:type="dxa" w:w="2379"/>
          </w:tcPr>
          <w:p>
            <w:r>
              <w:t>Prior.</w:t>
            </w:r>
          </w:p>
        </w:tc>
        <w:tc>
          <w:tcPr>
            <w:tcW w:type="dxa" w:w="2379"/>
          </w:tcPr>
          <w:p>
            <w:r>
              <w:t>Critério de aceitação</w:t>
            </w:r>
          </w:p>
        </w:tc>
      </w:tr>
      <w:tr>
        <w:tc>
          <w:tcPr>
            <w:tcW w:type="dxa" w:w="2379"/>
          </w:tcPr>
          <w:p>
            <w:r>
              <w:t>RF005</w:t>
            </w:r>
          </w:p>
        </w:tc>
        <w:tc>
          <w:tcPr>
            <w:tcW w:type="dxa" w:w="2379"/>
          </w:tcPr>
          <w:p>
            <w:r>
              <w:t>Criar, editar e desativar marcas</w:t>
            </w:r>
          </w:p>
        </w:tc>
        <w:tc>
          <w:tcPr>
            <w:tcW w:type="dxa" w:w="2379"/>
          </w:tcPr>
          <w:p>
            <w:r>
              <w:t>P0</w:t>
            </w:r>
          </w:p>
        </w:tc>
        <w:tc>
          <w:tcPr>
            <w:tcW w:type="dxa" w:w="2379"/>
          </w:tcPr>
          <w:p>
            <w:r>
              <w:t>Administrador gere marcas sem eliminar histórico associado.</w:t>
            </w:r>
          </w:p>
        </w:tc>
      </w:tr>
      <w:tr>
        <w:tc>
          <w:tcPr>
            <w:tcW w:type="dxa" w:w="2379"/>
          </w:tcPr>
          <w:p>
            <w:r>
              <w:t>RF006</w:t>
            </w:r>
          </w:p>
        </w:tc>
        <w:tc>
          <w:tcPr>
            <w:tcW w:type="dxa" w:w="2379"/>
          </w:tcPr>
          <w:p>
            <w:r>
              <w:t>Gerir modelos associados a marcas</w:t>
            </w:r>
          </w:p>
        </w:tc>
        <w:tc>
          <w:tcPr>
            <w:tcW w:type="dxa" w:w="2379"/>
          </w:tcPr>
          <w:p>
            <w:r>
              <w:t>P0</w:t>
            </w:r>
          </w:p>
        </w:tc>
        <w:tc>
          <w:tcPr>
            <w:tcW w:type="dxa" w:w="2379"/>
          </w:tcPr>
          <w:p>
            <w:r>
              <w:t>Cada modelo está ligado a uma marca existente.</w:t>
            </w:r>
          </w:p>
        </w:tc>
      </w:tr>
      <w:tr>
        <w:tc>
          <w:tcPr>
            <w:tcW w:type="dxa" w:w="2379"/>
          </w:tcPr>
          <w:p>
            <w:r>
              <w:t>RF007</w:t>
            </w:r>
          </w:p>
        </w:tc>
        <w:tc>
          <w:tcPr>
            <w:tcW w:type="dxa" w:w="2379"/>
          </w:tcPr>
          <w:p>
            <w:r>
              <w:t>Gerir gerações, anos e variantes</w:t>
            </w:r>
          </w:p>
        </w:tc>
        <w:tc>
          <w:tcPr>
            <w:tcW w:type="dxa" w:w="2379"/>
          </w:tcPr>
          <w:p>
            <w:r>
              <w:t>P1</w:t>
            </w:r>
          </w:p>
        </w:tc>
        <w:tc>
          <w:tcPr>
            <w:tcW w:type="dxa" w:w="2379"/>
          </w:tcPr>
          <w:p>
            <w:r>
              <w:t>É possível filtrar uma versão por marca, modelo e intervalo de anos.</w:t>
            </w:r>
          </w:p>
        </w:tc>
      </w:tr>
      <w:tr>
        <w:tc>
          <w:tcPr>
            <w:tcW w:type="dxa" w:w="2379"/>
          </w:tcPr>
          <w:p>
            <w:r>
              <w:t>RF008</w:t>
            </w:r>
          </w:p>
        </w:tc>
        <w:tc>
          <w:tcPr>
            <w:tcW w:type="dxa" w:w="2379"/>
          </w:tcPr>
          <w:p>
            <w:r>
              <w:t>Associar imagens de referência ao veículo</w:t>
            </w:r>
          </w:p>
        </w:tc>
        <w:tc>
          <w:tcPr>
            <w:tcW w:type="dxa" w:w="2379"/>
          </w:tcPr>
          <w:p>
            <w:r>
              <w:t>P0</w:t>
            </w:r>
          </w:p>
        </w:tc>
        <w:tc>
          <w:tcPr>
            <w:tcW w:type="dxa" w:w="2379"/>
          </w:tcPr>
          <w:p>
            <w:r>
              <w:t>Imagem válida é guardada com ângulo/vista identificados.</w:t>
            </w:r>
          </w:p>
        </w:tc>
      </w:tr>
      <w:tr>
        <w:tc>
          <w:tcPr>
            <w:tcW w:type="dxa" w:w="2379"/>
          </w:tcPr>
          <w:p>
            <w:r>
              <w:t>RF009</w:t>
            </w:r>
          </w:p>
        </w:tc>
        <w:tc>
          <w:tcPr>
            <w:tcW w:type="dxa" w:w="2379"/>
          </w:tcPr>
          <w:p>
            <w:r>
              <w:t>Pesquisar e filtrar veículos do catálogo</w:t>
            </w:r>
          </w:p>
        </w:tc>
        <w:tc>
          <w:tcPr>
            <w:tcW w:type="dxa" w:w="2379"/>
          </w:tcPr>
          <w:p>
            <w:r>
              <w:t>P0</w:t>
            </w:r>
          </w:p>
        </w:tc>
        <w:tc>
          <w:tcPr>
            <w:tcW w:type="dxa" w:w="2379"/>
          </w:tcPr>
          <w:p>
            <w:r>
              <w:t>Utilizador encontra veículo por marca e modelo.</w:t>
            </w:r>
          </w:p>
        </w:tc>
      </w:tr>
      <w:tr>
        <w:tc>
          <w:tcPr>
            <w:tcW w:type="dxa" w:w="2379"/>
          </w:tcPr>
          <w:p>
            <w:r>
              <w:t>RF010</w:t>
            </w:r>
          </w:p>
        </w:tc>
        <w:tc>
          <w:tcPr>
            <w:tcW w:type="dxa" w:w="2379"/>
          </w:tcPr>
          <w:p>
            <w:r>
              <w:t>Associar recurso 3D opcional ao veículo</w:t>
            </w:r>
          </w:p>
        </w:tc>
        <w:tc>
          <w:tcPr>
            <w:tcW w:type="dxa" w:w="2379"/>
          </w:tcPr>
          <w:p>
            <w:r>
              <w:t>P2</w:t>
            </w:r>
          </w:p>
        </w:tc>
        <w:tc>
          <w:tcPr>
            <w:tcW w:type="dxa" w:w="2379"/>
          </w:tcPr>
          <w:p>
            <w:r>
              <w:t>Modelo 3D validado pode ser ligado a veículo compatível.</w:t>
            </w:r>
          </w:p>
        </w:tc>
      </w:tr>
    </w:tbl>
    <w:p/>
    <w:p>
      <w:pPr>
        <w:pStyle w:val="Heading2"/>
      </w:pPr>
      <w:r>
        <w:t>3.3 Catálogo de acessórios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t>ID</w:t>
            </w:r>
          </w:p>
        </w:tc>
        <w:tc>
          <w:tcPr>
            <w:tcW w:type="dxa" w:w="2379"/>
          </w:tcPr>
          <w:p>
            <w:r>
              <w:t>Descrição</w:t>
            </w:r>
          </w:p>
        </w:tc>
        <w:tc>
          <w:tcPr>
            <w:tcW w:type="dxa" w:w="2379"/>
          </w:tcPr>
          <w:p>
            <w:r>
              <w:t>Prior.</w:t>
            </w:r>
          </w:p>
        </w:tc>
        <w:tc>
          <w:tcPr>
            <w:tcW w:type="dxa" w:w="2379"/>
          </w:tcPr>
          <w:p>
            <w:r>
              <w:t>Critério de aceitação</w:t>
            </w:r>
          </w:p>
        </w:tc>
      </w:tr>
      <w:tr>
        <w:tc>
          <w:tcPr>
            <w:tcW w:type="dxa" w:w="2379"/>
          </w:tcPr>
          <w:p>
            <w:r>
              <w:t>RF011</w:t>
            </w:r>
          </w:p>
        </w:tc>
        <w:tc>
          <w:tcPr>
            <w:tcW w:type="dxa" w:w="2379"/>
          </w:tcPr>
          <w:p>
            <w:r>
              <w:t>Gerir categorias de acessórios</w:t>
            </w:r>
          </w:p>
        </w:tc>
        <w:tc>
          <w:tcPr>
            <w:tcW w:type="dxa" w:w="2379"/>
          </w:tcPr>
          <w:p>
            <w:r>
              <w:t>P0</w:t>
            </w:r>
          </w:p>
        </w:tc>
        <w:tc>
          <w:tcPr>
            <w:tcW w:type="dxa" w:w="2379"/>
          </w:tcPr>
          <w:p>
            <w:r>
              <w:t>Administrador cria e altera categorias.</w:t>
            </w:r>
          </w:p>
        </w:tc>
      </w:tr>
      <w:tr>
        <w:tc>
          <w:tcPr>
            <w:tcW w:type="dxa" w:w="2379"/>
          </w:tcPr>
          <w:p>
            <w:r>
              <w:t>RF012</w:t>
            </w:r>
          </w:p>
        </w:tc>
        <w:tc>
          <w:tcPr>
            <w:tcW w:type="dxa" w:w="2379"/>
          </w:tcPr>
          <w:p>
            <w:r>
              <w:t>Criar, editar e desativar acessórios</w:t>
            </w:r>
          </w:p>
        </w:tc>
        <w:tc>
          <w:tcPr>
            <w:tcW w:type="dxa" w:w="2379"/>
          </w:tcPr>
          <w:p>
            <w:r>
              <w:t>P0</w:t>
            </w:r>
          </w:p>
        </w:tc>
        <w:tc>
          <w:tcPr>
            <w:tcW w:type="dxa" w:w="2379"/>
          </w:tcPr>
          <w:p>
            <w:r>
              <w:t>Acessório possui identificação, categoria e estado.</w:t>
            </w:r>
          </w:p>
        </w:tc>
      </w:tr>
      <w:tr>
        <w:tc>
          <w:tcPr>
            <w:tcW w:type="dxa" w:w="2379"/>
          </w:tcPr>
          <w:p>
            <w:r>
              <w:t>RF013</w:t>
            </w:r>
          </w:p>
        </w:tc>
        <w:tc>
          <w:tcPr>
            <w:tcW w:type="dxa" w:w="2379"/>
          </w:tcPr>
          <w:p>
            <w:r>
              <w:t>Associar imagens transparentes a acessórios</w:t>
            </w:r>
          </w:p>
        </w:tc>
        <w:tc>
          <w:tcPr>
            <w:tcW w:type="dxa" w:w="2379"/>
          </w:tcPr>
          <w:p>
            <w:r>
              <w:t>P0</w:t>
            </w:r>
          </w:p>
        </w:tc>
        <w:tc>
          <w:tcPr>
            <w:tcW w:type="dxa" w:w="2379"/>
          </w:tcPr>
          <w:p>
            <w:r>
              <w:t>Imagem PNG/WebP com transparência pode ser utilizada na simulação.</w:t>
            </w:r>
          </w:p>
        </w:tc>
      </w:tr>
      <w:tr>
        <w:tc>
          <w:tcPr>
            <w:tcW w:type="dxa" w:w="2379"/>
          </w:tcPr>
          <w:p>
            <w:r>
              <w:t>RF014</w:t>
            </w:r>
          </w:p>
        </w:tc>
        <w:tc>
          <w:tcPr>
            <w:tcW w:type="dxa" w:w="2379"/>
          </w:tcPr>
          <w:p>
            <w:r>
              <w:t>Registar especificações técnicas por categoria</w:t>
            </w:r>
          </w:p>
        </w:tc>
        <w:tc>
          <w:tcPr>
            <w:tcW w:type="dxa" w:w="2379"/>
          </w:tcPr>
          <w:p>
            <w:r>
              <w:t>P1</w:t>
            </w:r>
          </w:p>
        </w:tc>
        <w:tc>
          <w:tcPr>
            <w:tcW w:type="dxa" w:w="2379"/>
          </w:tcPr>
          <w:p>
            <w:r>
              <w:t>Jantes suportam diâmetro, largura, furação e ET quando conhecidos.</w:t>
            </w:r>
          </w:p>
        </w:tc>
      </w:tr>
      <w:tr>
        <w:tc>
          <w:tcPr>
            <w:tcW w:type="dxa" w:w="2379"/>
          </w:tcPr>
          <w:p>
            <w:r>
              <w:t>RF015</w:t>
            </w:r>
          </w:p>
        </w:tc>
        <w:tc>
          <w:tcPr>
            <w:tcW w:type="dxa" w:w="2379"/>
          </w:tcPr>
          <w:p>
            <w:r>
              <w:t>Filtrar e pesquisar acessórios</w:t>
            </w:r>
          </w:p>
        </w:tc>
        <w:tc>
          <w:tcPr>
            <w:tcW w:type="dxa" w:w="2379"/>
          </w:tcPr>
          <w:p>
            <w:r>
              <w:t>P0</w:t>
            </w:r>
          </w:p>
        </w:tc>
        <w:tc>
          <w:tcPr>
            <w:tcW w:type="dxa" w:w="2379"/>
          </w:tcPr>
          <w:p>
            <w:r>
              <w:t>Utilizador filtra jantes por marca, modelo e atributos disponíveis.</w:t>
            </w:r>
          </w:p>
        </w:tc>
      </w:tr>
      <w:tr>
        <w:tc>
          <w:tcPr>
            <w:tcW w:type="dxa" w:w="2379"/>
          </w:tcPr>
          <w:p>
            <w:r>
              <w:t>RF016</w:t>
            </w:r>
          </w:p>
        </w:tc>
        <w:tc>
          <w:tcPr>
            <w:tcW w:type="dxa" w:w="2379"/>
          </w:tcPr>
          <w:p>
            <w:r>
              <w:t>Consultar compatibilidade técnica</w:t>
            </w:r>
          </w:p>
        </w:tc>
        <w:tc>
          <w:tcPr>
            <w:tcW w:type="dxa" w:w="2379"/>
          </w:tcPr>
          <w:p>
            <w:r>
              <w:t>P1</w:t>
            </w:r>
          </w:p>
        </w:tc>
        <w:tc>
          <w:tcPr>
            <w:tcW w:type="dxa" w:w="2379"/>
          </w:tcPr>
          <w:p>
            <w:r>
              <w:t>Sistema distingue compatível, incompatível e não verificado; nunca assume compatibilidade sem dados suficientes.</w:t>
            </w:r>
          </w:p>
        </w:tc>
      </w:tr>
    </w:tbl>
    <w:p/>
    <w:p>
      <w:pPr>
        <w:pStyle w:val="Heading2"/>
      </w:pPr>
      <w:r>
        <w:t>3.4 Simulador visual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t>ID</w:t>
            </w:r>
          </w:p>
        </w:tc>
        <w:tc>
          <w:tcPr>
            <w:tcW w:type="dxa" w:w="2379"/>
          </w:tcPr>
          <w:p>
            <w:r>
              <w:t>Descrição</w:t>
            </w:r>
          </w:p>
        </w:tc>
        <w:tc>
          <w:tcPr>
            <w:tcW w:type="dxa" w:w="2379"/>
          </w:tcPr>
          <w:p>
            <w:r>
              <w:t>Prior.</w:t>
            </w:r>
          </w:p>
        </w:tc>
        <w:tc>
          <w:tcPr>
            <w:tcW w:type="dxa" w:w="2379"/>
          </w:tcPr>
          <w:p>
            <w:r>
              <w:t>Critério de aceitação</w:t>
            </w:r>
          </w:p>
        </w:tc>
      </w:tr>
      <w:tr>
        <w:tc>
          <w:tcPr>
            <w:tcW w:type="dxa" w:w="2379"/>
          </w:tcPr>
          <w:p>
            <w:r>
              <w:t>RF017</w:t>
            </w:r>
          </w:p>
        </w:tc>
        <w:tc>
          <w:tcPr>
            <w:tcW w:type="dxa" w:w="2379"/>
          </w:tcPr>
          <w:p>
            <w:r>
              <w:t>Carregar fotografia própria</w:t>
            </w:r>
          </w:p>
        </w:tc>
        <w:tc>
          <w:tcPr>
            <w:tcW w:type="dxa" w:w="2379"/>
          </w:tcPr>
          <w:p>
            <w:r>
              <w:t>P0</w:t>
            </w:r>
          </w:p>
        </w:tc>
        <w:tc>
          <w:tcPr>
            <w:tcW w:type="dxa" w:w="2379"/>
          </w:tcPr>
          <w:p>
            <w:r>
              <w:t>Ficheiro válido é aceite e mostrado; ficheiro inválido é rejeitado.</w:t>
            </w:r>
          </w:p>
        </w:tc>
      </w:tr>
      <w:tr>
        <w:tc>
          <w:tcPr>
            <w:tcW w:type="dxa" w:w="2379"/>
          </w:tcPr>
          <w:p>
            <w:r>
              <w:t>RF018</w:t>
            </w:r>
          </w:p>
        </w:tc>
        <w:tc>
          <w:tcPr>
            <w:tcW w:type="dxa" w:w="2379"/>
          </w:tcPr>
          <w:p>
            <w:r>
              <w:t>Iniciar simulação com veículo do catálogo</w:t>
            </w:r>
          </w:p>
        </w:tc>
        <w:tc>
          <w:tcPr>
            <w:tcW w:type="dxa" w:w="2379"/>
          </w:tcPr>
          <w:p>
            <w:r>
              <w:t>P0</w:t>
            </w:r>
          </w:p>
        </w:tc>
        <w:tc>
          <w:tcPr>
            <w:tcW w:type="dxa" w:w="2379"/>
          </w:tcPr>
          <w:p>
            <w:r>
              <w:t>Imagem do veículo escolhido é carregada no editor.</w:t>
            </w:r>
          </w:p>
        </w:tc>
      </w:tr>
      <w:tr>
        <w:tc>
          <w:tcPr>
            <w:tcW w:type="dxa" w:w="2379"/>
          </w:tcPr>
          <w:p>
            <w:r>
              <w:t>RF019</w:t>
            </w:r>
          </w:p>
        </w:tc>
        <w:tc>
          <w:tcPr>
            <w:tcW w:type="dxa" w:w="2379"/>
          </w:tcPr>
          <w:p>
            <w:r>
              <w:t>Selecionar jante do catálogo</w:t>
            </w:r>
          </w:p>
        </w:tc>
        <w:tc>
          <w:tcPr>
            <w:tcW w:type="dxa" w:w="2379"/>
          </w:tcPr>
          <w:p>
            <w:r>
              <w:t>P0</w:t>
            </w:r>
          </w:p>
        </w:tc>
        <w:tc>
          <w:tcPr>
            <w:tcW w:type="dxa" w:w="2379"/>
          </w:tcPr>
          <w:p>
            <w:r>
              <w:t>Jante selecionada é apresentada na pré-visualização.</w:t>
            </w:r>
          </w:p>
        </w:tc>
      </w:tr>
      <w:tr>
        <w:tc>
          <w:tcPr>
            <w:tcW w:type="dxa" w:w="2379"/>
          </w:tcPr>
          <w:p>
            <w:r>
              <w:t>RF020</w:t>
            </w:r>
          </w:p>
        </w:tc>
        <w:tc>
          <w:tcPr>
            <w:tcW w:type="dxa" w:w="2379"/>
          </w:tcPr>
          <w:p>
            <w:r>
              <w:t>Posicionar jante sobre uma ou duas rodas visíveis</w:t>
            </w:r>
          </w:p>
        </w:tc>
        <w:tc>
          <w:tcPr>
            <w:tcW w:type="dxa" w:w="2379"/>
          </w:tcPr>
          <w:p>
            <w:r>
              <w:t>P0</w:t>
            </w:r>
          </w:p>
        </w:tc>
        <w:tc>
          <w:tcPr>
            <w:tcW w:type="dxa" w:w="2379"/>
          </w:tcPr>
          <w:p>
            <w:r>
              <w:t>Utilizador consegue mover, dimensionar e rodar a sobreposição.</w:t>
            </w:r>
          </w:p>
        </w:tc>
      </w:tr>
      <w:tr>
        <w:tc>
          <w:tcPr>
            <w:tcW w:type="dxa" w:w="2379"/>
          </w:tcPr>
          <w:p>
            <w:r>
              <w:t>RF021</w:t>
            </w:r>
          </w:p>
        </w:tc>
        <w:tc>
          <w:tcPr>
            <w:tcW w:type="dxa" w:w="2379"/>
          </w:tcPr>
          <w:p>
            <w:r>
              <w:t>Ajustar manualmente perspetiva e escala</w:t>
            </w:r>
          </w:p>
        </w:tc>
        <w:tc>
          <w:tcPr>
            <w:tcW w:type="dxa" w:w="2379"/>
          </w:tcPr>
          <w:p>
            <w:r>
              <w:t>P0</w:t>
            </w:r>
          </w:p>
        </w:tc>
        <w:tc>
          <w:tcPr>
            <w:tcW w:type="dxa" w:w="2379"/>
          </w:tcPr>
          <w:p>
            <w:r>
              <w:t>Alterações visuais são refletidas imediatamente na pré-visualização.</w:t>
            </w:r>
          </w:p>
        </w:tc>
      </w:tr>
      <w:tr>
        <w:tc>
          <w:tcPr>
            <w:tcW w:type="dxa" w:w="2379"/>
          </w:tcPr>
          <w:p>
            <w:r>
              <w:t>RF022</w:t>
            </w:r>
          </w:p>
        </w:tc>
        <w:tc>
          <w:tcPr>
            <w:tcW w:type="dxa" w:w="2379"/>
          </w:tcPr>
          <w:p>
            <w:r>
              <w:t>Detetar automaticamente regiões das rodas quando possível</w:t>
            </w:r>
          </w:p>
        </w:tc>
        <w:tc>
          <w:tcPr>
            <w:tcW w:type="dxa" w:w="2379"/>
          </w:tcPr>
          <w:p>
            <w:r>
              <w:t>P1</w:t>
            </w:r>
          </w:p>
        </w:tc>
        <w:tc>
          <w:tcPr>
            <w:tcW w:type="dxa" w:w="2379"/>
          </w:tcPr>
          <w:p>
            <w:r>
              <w:t>Deteção sugere posições editáveis; falha não impede edição manual.</w:t>
            </w:r>
          </w:p>
        </w:tc>
      </w:tr>
      <w:tr>
        <w:tc>
          <w:tcPr>
            <w:tcW w:type="dxa" w:w="2379"/>
          </w:tcPr>
          <w:p>
            <w:r>
              <w:t>RF023</w:t>
            </w:r>
          </w:p>
        </w:tc>
        <w:tc>
          <w:tcPr>
            <w:tcW w:type="dxa" w:w="2379"/>
          </w:tcPr>
          <w:p>
            <w:r>
              <w:t>Comparar imagem original e personalizada</w:t>
            </w:r>
          </w:p>
        </w:tc>
        <w:tc>
          <w:tcPr>
            <w:tcW w:type="dxa" w:w="2379"/>
          </w:tcPr>
          <w:p>
            <w:r>
              <w:t>P0</w:t>
            </w:r>
          </w:p>
        </w:tc>
        <w:tc>
          <w:tcPr>
            <w:tcW w:type="dxa" w:w="2379"/>
          </w:tcPr>
          <w:p>
            <w:r>
              <w:t>Utilizador alterna entre imagens ou usa comparação lado a lado.</w:t>
            </w:r>
          </w:p>
        </w:tc>
      </w:tr>
      <w:tr>
        <w:tc>
          <w:tcPr>
            <w:tcW w:type="dxa" w:w="2379"/>
          </w:tcPr>
          <w:p>
            <w:r>
              <w:t>RF024</w:t>
            </w:r>
          </w:p>
        </w:tc>
        <w:tc>
          <w:tcPr>
            <w:tcW w:type="dxa" w:w="2379"/>
          </w:tcPr>
          <w:p>
            <w:r>
              <w:t>Repor alterações da simulação</w:t>
            </w:r>
          </w:p>
        </w:tc>
        <w:tc>
          <w:tcPr>
            <w:tcW w:type="dxa" w:w="2379"/>
          </w:tcPr>
          <w:p>
            <w:r>
              <w:t>P0</w:t>
            </w:r>
          </w:p>
        </w:tc>
        <w:tc>
          <w:tcPr>
            <w:tcW w:type="dxa" w:w="2379"/>
          </w:tcPr>
          <w:p>
            <w:r>
              <w:t>Editor restaura a imagem base e elimina ajustes temporários.</w:t>
            </w:r>
          </w:p>
        </w:tc>
      </w:tr>
      <w:tr>
        <w:tc>
          <w:tcPr>
            <w:tcW w:type="dxa" w:w="2379"/>
          </w:tcPr>
          <w:p>
            <w:r>
              <w:t>RF025</w:t>
            </w:r>
          </w:p>
        </w:tc>
        <w:tc>
          <w:tcPr>
            <w:tcW w:type="dxa" w:w="2379"/>
          </w:tcPr>
          <w:p>
            <w:r>
              <w:t>Exportar imagem resultante</w:t>
            </w:r>
          </w:p>
        </w:tc>
        <w:tc>
          <w:tcPr>
            <w:tcW w:type="dxa" w:w="2379"/>
          </w:tcPr>
          <w:p>
            <w:r>
              <w:t>P0</w:t>
            </w:r>
          </w:p>
        </w:tc>
        <w:tc>
          <w:tcPr>
            <w:tcW w:type="dxa" w:w="2379"/>
          </w:tcPr>
          <w:p>
            <w:r>
              <w:t>Ficheiro exportado inclui a composição visível sem elementos da interface.</w:t>
            </w:r>
          </w:p>
        </w:tc>
      </w:tr>
      <w:tr>
        <w:tc>
          <w:tcPr>
            <w:tcW w:type="dxa" w:w="2379"/>
          </w:tcPr>
          <w:p>
            <w:r>
              <w:t>RF026</w:t>
            </w:r>
          </w:p>
        </w:tc>
        <w:tc>
          <w:tcPr>
            <w:tcW w:type="dxa" w:w="2379"/>
          </w:tcPr>
          <w:p>
            <w:r>
              <w:t>Apresentar estado de processamento assíncrono</w:t>
            </w:r>
          </w:p>
        </w:tc>
        <w:tc>
          <w:tcPr>
            <w:tcW w:type="dxa" w:w="2379"/>
          </w:tcPr>
          <w:p>
            <w:r>
              <w:t>P1</w:t>
            </w:r>
          </w:p>
        </w:tc>
        <w:tc>
          <w:tcPr>
            <w:tcW w:type="dxa" w:w="2379"/>
          </w:tcPr>
          <w:p>
            <w:r>
              <w:t>Tarefa indica pendente, em execução, concluída ou falhada.</w:t>
            </w:r>
          </w:p>
        </w:tc>
      </w:tr>
    </w:tbl>
    <w:p/>
    <w:p>
      <w:pPr>
        <w:pStyle w:val="Heading2"/>
      </w:pPr>
      <w:r>
        <w:t>3.5 Projetos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t>ID</w:t>
            </w:r>
          </w:p>
        </w:tc>
        <w:tc>
          <w:tcPr>
            <w:tcW w:type="dxa" w:w="2379"/>
          </w:tcPr>
          <w:p>
            <w:r>
              <w:t>Descrição</w:t>
            </w:r>
          </w:p>
        </w:tc>
        <w:tc>
          <w:tcPr>
            <w:tcW w:type="dxa" w:w="2379"/>
          </w:tcPr>
          <w:p>
            <w:r>
              <w:t>Prior.</w:t>
            </w:r>
          </w:p>
        </w:tc>
        <w:tc>
          <w:tcPr>
            <w:tcW w:type="dxa" w:w="2379"/>
          </w:tcPr>
          <w:p>
            <w:r>
              <w:t>Critério de aceitação</w:t>
            </w:r>
          </w:p>
        </w:tc>
      </w:tr>
      <w:tr>
        <w:tc>
          <w:tcPr>
            <w:tcW w:type="dxa" w:w="2379"/>
          </w:tcPr>
          <w:p>
            <w:r>
              <w:t>RF027</w:t>
            </w:r>
          </w:p>
        </w:tc>
        <w:tc>
          <w:tcPr>
            <w:tcW w:type="dxa" w:w="2379"/>
          </w:tcPr>
          <w:p>
            <w:r>
              <w:t>Criar projeto de personalização</w:t>
            </w:r>
          </w:p>
        </w:tc>
        <w:tc>
          <w:tcPr>
            <w:tcW w:type="dxa" w:w="2379"/>
          </w:tcPr>
          <w:p>
            <w:r>
              <w:t>P0</w:t>
            </w:r>
          </w:p>
        </w:tc>
        <w:tc>
          <w:tcPr>
            <w:tcW w:type="dxa" w:w="2379"/>
          </w:tcPr>
          <w:p>
            <w:r>
              <w:t>Projeto fica associado ao proprietário autenticado.</w:t>
            </w:r>
          </w:p>
        </w:tc>
      </w:tr>
      <w:tr>
        <w:tc>
          <w:tcPr>
            <w:tcW w:type="dxa" w:w="2379"/>
          </w:tcPr>
          <w:p>
            <w:r>
              <w:t>RF028</w:t>
            </w:r>
          </w:p>
        </w:tc>
        <w:tc>
          <w:tcPr>
            <w:tcW w:type="dxa" w:w="2379"/>
          </w:tcPr>
          <w:p>
            <w:r>
              <w:t>Guardar fotografia, escolhas e ajustes</w:t>
            </w:r>
          </w:p>
        </w:tc>
        <w:tc>
          <w:tcPr>
            <w:tcW w:type="dxa" w:w="2379"/>
          </w:tcPr>
          <w:p>
            <w:r>
              <w:t>P0</w:t>
            </w:r>
          </w:p>
        </w:tc>
        <w:tc>
          <w:tcPr>
            <w:tcW w:type="dxa" w:w="2379"/>
          </w:tcPr>
          <w:p>
            <w:r>
              <w:t>Projeto reabre com os elementos e posições anteriormente guardados.</w:t>
            </w:r>
          </w:p>
        </w:tc>
      </w:tr>
      <w:tr>
        <w:tc>
          <w:tcPr>
            <w:tcW w:type="dxa" w:w="2379"/>
          </w:tcPr>
          <w:p>
            <w:r>
              <w:t>RF029</w:t>
            </w:r>
          </w:p>
        </w:tc>
        <w:tc>
          <w:tcPr>
            <w:tcW w:type="dxa" w:w="2379"/>
          </w:tcPr>
          <w:p>
            <w:r>
              <w:t>Listar e consultar projetos próprios</w:t>
            </w:r>
          </w:p>
        </w:tc>
        <w:tc>
          <w:tcPr>
            <w:tcW w:type="dxa" w:w="2379"/>
          </w:tcPr>
          <w:p>
            <w:r>
              <w:t>P0</w:t>
            </w:r>
          </w:p>
        </w:tc>
        <w:tc>
          <w:tcPr>
            <w:tcW w:type="dxa" w:w="2379"/>
          </w:tcPr>
          <w:p>
            <w:r>
              <w:t>Só aparecem projetos pertencentes à conta autenticada.</w:t>
            </w:r>
          </w:p>
        </w:tc>
      </w:tr>
      <w:tr>
        <w:tc>
          <w:tcPr>
            <w:tcW w:type="dxa" w:w="2379"/>
          </w:tcPr>
          <w:p>
            <w:r>
              <w:t>RF030</w:t>
            </w:r>
          </w:p>
        </w:tc>
        <w:tc>
          <w:tcPr>
            <w:tcW w:type="dxa" w:w="2379"/>
          </w:tcPr>
          <w:p>
            <w:r>
              <w:t>Editar, duplicar e eliminar projetos</w:t>
            </w:r>
          </w:p>
        </w:tc>
        <w:tc>
          <w:tcPr>
            <w:tcW w:type="dxa" w:w="2379"/>
          </w:tcPr>
          <w:p>
            <w:r>
              <w:t>P1</w:t>
            </w:r>
          </w:p>
        </w:tc>
        <w:tc>
          <w:tcPr>
            <w:tcW w:type="dxa" w:w="2379"/>
          </w:tcPr>
          <w:p>
            <w:r>
              <w:t>Operações são confirmadas e respeitam a propriedade do projeto.</w:t>
            </w:r>
          </w:p>
        </w:tc>
      </w:tr>
    </w:tbl>
    <w:p/>
    <w:p>
      <w:pPr>
        <w:pStyle w:val="Heading2"/>
      </w:pPr>
      <w:r>
        <w:t>3.6 Administração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t>ID</w:t>
            </w:r>
          </w:p>
        </w:tc>
        <w:tc>
          <w:tcPr>
            <w:tcW w:type="dxa" w:w="2379"/>
          </w:tcPr>
          <w:p>
            <w:r>
              <w:t>Descrição</w:t>
            </w:r>
          </w:p>
        </w:tc>
        <w:tc>
          <w:tcPr>
            <w:tcW w:type="dxa" w:w="2379"/>
          </w:tcPr>
          <w:p>
            <w:r>
              <w:t>Prior.</w:t>
            </w:r>
          </w:p>
        </w:tc>
        <w:tc>
          <w:tcPr>
            <w:tcW w:type="dxa" w:w="2379"/>
          </w:tcPr>
          <w:p>
            <w:r>
              <w:t>Critério de aceitação</w:t>
            </w:r>
          </w:p>
        </w:tc>
      </w:tr>
      <w:tr>
        <w:tc>
          <w:tcPr>
            <w:tcW w:type="dxa" w:w="2379"/>
          </w:tcPr>
          <w:p>
            <w:r>
              <w:t>RF031</w:t>
            </w:r>
          </w:p>
        </w:tc>
        <w:tc>
          <w:tcPr>
            <w:tcW w:type="dxa" w:w="2379"/>
          </w:tcPr>
          <w:p>
            <w:r>
              <w:t>Gerir recursos visuais dos catálogos</w:t>
            </w:r>
          </w:p>
        </w:tc>
        <w:tc>
          <w:tcPr>
            <w:tcW w:type="dxa" w:w="2379"/>
          </w:tcPr>
          <w:p>
            <w:r>
              <w:t>P0</w:t>
            </w:r>
          </w:p>
        </w:tc>
        <w:tc>
          <w:tcPr>
            <w:tcW w:type="dxa" w:w="2379"/>
          </w:tcPr>
          <w:p>
            <w:r>
              <w:t>Administrador pode substituir imagem mantendo referência ao acessório.</w:t>
            </w:r>
          </w:p>
        </w:tc>
      </w:tr>
      <w:tr>
        <w:tc>
          <w:tcPr>
            <w:tcW w:type="dxa" w:w="2379"/>
          </w:tcPr>
          <w:p>
            <w:r>
              <w:t>RF032</w:t>
            </w:r>
          </w:p>
        </w:tc>
        <w:tc>
          <w:tcPr>
            <w:tcW w:type="dxa" w:w="2379"/>
          </w:tcPr>
          <w:p>
            <w:r>
              <w:t>Consultar estado de tarefas de processamento</w:t>
            </w:r>
          </w:p>
        </w:tc>
        <w:tc>
          <w:tcPr>
            <w:tcW w:type="dxa" w:w="2379"/>
          </w:tcPr>
          <w:p>
            <w:r>
              <w:t>P1</w:t>
            </w:r>
          </w:p>
        </w:tc>
        <w:tc>
          <w:tcPr>
            <w:tcW w:type="dxa" w:w="2379"/>
          </w:tcPr>
          <w:p>
            <w:r>
              <w:t>Administrador identifica tarefas falhadas e respetivo erro técnico.</w:t>
            </w:r>
          </w:p>
        </w:tc>
      </w:tr>
      <w:tr>
        <w:tc>
          <w:tcPr>
            <w:tcW w:type="dxa" w:w="2379"/>
          </w:tcPr>
          <w:p>
            <w:r>
              <w:t>RF033</w:t>
            </w:r>
          </w:p>
        </w:tc>
        <w:tc>
          <w:tcPr>
            <w:tcW w:type="dxa" w:w="2379"/>
          </w:tcPr>
          <w:p>
            <w:r>
              <w:t>Registar operações administrativas relevantes</w:t>
            </w:r>
          </w:p>
        </w:tc>
        <w:tc>
          <w:tcPr>
            <w:tcW w:type="dxa" w:w="2379"/>
          </w:tcPr>
          <w:p>
            <w:r>
              <w:t>P1</w:t>
            </w:r>
          </w:p>
        </w:tc>
        <w:tc>
          <w:tcPr>
            <w:tcW w:type="dxa" w:w="2379"/>
          </w:tcPr>
          <w:p>
            <w:r>
              <w:t>Alterações críticas ficam auditáveis com data e responsável.</w:t>
            </w:r>
          </w:p>
        </w:tc>
      </w:tr>
    </w:tbl>
    <w:p/>
    <w:p>
      <w:pPr>
        <w:pStyle w:val="Heading1"/>
      </w:pPr>
      <w:r>
        <w:t>4. Regras de negócio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Código</w:t>
            </w:r>
          </w:p>
        </w:tc>
        <w:tc>
          <w:tcPr>
            <w:tcW w:type="dxa" w:w="4759"/>
          </w:tcPr>
          <w:p>
            <w:r>
              <w:t>Regra</w:t>
            </w:r>
          </w:p>
        </w:tc>
      </w:tr>
      <w:tr>
        <w:tc>
          <w:tcPr>
            <w:tcW w:type="dxa" w:w="4759"/>
          </w:tcPr>
          <w:p>
            <w:r>
              <w:t>RN001</w:t>
            </w:r>
          </w:p>
        </w:tc>
        <w:tc>
          <w:tcPr>
            <w:tcW w:type="dxa" w:w="4759"/>
          </w:tcPr>
          <w:p>
            <w:r>
              <w:t>Cada modelo pertence a uma marca; cada geração pertence a um modelo.</w:t>
            </w:r>
          </w:p>
        </w:tc>
      </w:tr>
      <w:tr>
        <w:tc>
          <w:tcPr>
            <w:tcW w:type="dxa" w:w="4759"/>
          </w:tcPr>
          <w:p>
            <w:r>
              <w:t>RN002</w:t>
            </w:r>
          </w:p>
        </w:tc>
        <w:tc>
          <w:tcPr>
            <w:tcW w:type="dxa" w:w="4759"/>
          </w:tcPr>
          <w:p>
            <w:r>
              <w:t>Cada acessório pertence a uma categoria e pode possuir múltiplos recursos visuais.</w:t>
            </w:r>
          </w:p>
        </w:tc>
      </w:tr>
      <w:tr>
        <w:tc>
          <w:tcPr>
            <w:tcW w:type="dxa" w:w="4759"/>
          </w:tcPr>
          <w:p>
            <w:r>
              <w:t>RN003</w:t>
            </w:r>
          </w:p>
        </w:tc>
        <w:tc>
          <w:tcPr>
            <w:tcW w:type="dxa" w:w="4759"/>
          </w:tcPr>
          <w:p>
            <w:r>
              <w:t>Uma simulação utiliza uma fotografia do cliente ou um recurso do catálogo como imagem base.</w:t>
            </w:r>
          </w:p>
        </w:tc>
      </w:tr>
      <w:tr>
        <w:tc>
          <w:tcPr>
            <w:tcW w:type="dxa" w:w="4759"/>
          </w:tcPr>
          <w:p>
            <w:r>
              <w:t>RN004</w:t>
            </w:r>
          </w:p>
        </w:tc>
        <w:tc>
          <w:tcPr>
            <w:tcW w:type="dxa" w:w="4759"/>
          </w:tcPr>
          <w:p>
            <w:r>
              <w:t>A simulação visual não constitui garantia de compatibilidade física ou homologação.</w:t>
            </w:r>
          </w:p>
        </w:tc>
      </w:tr>
      <w:tr>
        <w:tc>
          <w:tcPr>
            <w:tcW w:type="dxa" w:w="4759"/>
          </w:tcPr>
          <w:p>
            <w:r>
              <w:t>RN005</w:t>
            </w:r>
          </w:p>
        </w:tc>
        <w:tc>
          <w:tcPr>
            <w:tcW w:type="dxa" w:w="4759"/>
          </w:tcPr>
          <w:p>
            <w:r>
              <w:t>Se faltarem medidas para avaliar compatibilidade, o estado é «não verificado».</w:t>
            </w:r>
          </w:p>
        </w:tc>
      </w:tr>
      <w:tr>
        <w:tc>
          <w:tcPr>
            <w:tcW w:type="dxa" w:w="4759"/>
          </w:tcPr>
          <w:p>
            <w:r>
              <w:t>RN006</w:t>
            </w:r>
          </w:p>
        </w:tc>
        <w:tc>
          <w:tcPr>
            <w:tcW w:type="dxa" w:w="4759"/>
          </w:tcPr>
          <w:p>
            <w:r>
              <w:t>Um projeto guardado pertence a um utilizador autenticado.</w:t>
            </w:r>
          </w:p>
        </w:tc>
      </w:tr>
      <w:tr>
        <w:tc>
          <w:tcPr>
            <w:tcW w:type="dxa" w:w="4759"/>
          </w:tcPr>
          <w:p>
            <w:r>
              <w:t>RN007</w:t>
            </w:r>
          </w:p>
        </w:tc>
        <w:tc>
          <w:tcPr>
            <w:tcW w:type="dxa" w:w="4759"/>
          </w:tcPr>
          <w:p>
            <w:r>
              <w:t>A imagem original deve ser preservada; a edição guarda parâmetros e gera resultados derivados.</w:t>
            </w:r>
          </w:p>
        </w:tc>
      </w:tr>
      <w:tr>
        <w:tc>
          <w:tcPr>
            <w:tcW w:type="dxa" w:w="4759"/>
          </w:tcPr>
          <w:p>
            <w:r>
              <w:t>RN008</w:t>
            </w:r>
          </w:p>
        </w:tc>
        <w:tc>
          <w:tcPr>
            <w:tcW w:type="dxa" w:w="4759"/>
          </w:tcPr>
          <w:p>
            <w:r>
              <w:t>Apenas administradores podem alterar catálogos partilhados.</w:t>
            </w:r>
          </w:p>
        </w:tc>
      </w:tr>
      <w:tr>
        <w:tc>
          <w:tcPr>
            <w:tcW w:type="dxa" w:w="4759"/>
          </w:tcPr>
          <w:p>
            <w:r>
              <w:t>RN009</w:t>
            </w:r>
          </w:p>
        </w:tc>
        <w:tc>
          <w:tcPr>
            <w:tcW w:type="dxa" w:w="4759"/>
          </w:tcPr>
          <w:p>
            <w:r>
              <w:t>Nenhuma entidade ou ecrã do MVP requer campos de preço, custo ou orçamento.</w:t>
            </w:r>
          </w:p>
        </w:tc>
      </w:tr>
      <w:tr>
        <w:tc>
          <w:tcPr>
            <w:tcW w:type="dxa" w:w="4759"/>
          </w:tcPr>
          <w:p>
            <w:r>
              <w:t>RN010</w:t>
            </w:r>
          </w:p>
        </w:tc>
        <w:tc>
          <w:tcPr>
            <w:tcW w:type="dxa" w:w="4759"/>
          </w:tcPr>
          <w:p>
            <w:r>
              <w:t>Fotografias privadas não são disponibilizadas publicamente por defeito.</w:t>
            </w:r>
          </w:p>
        </w:tc>
      </w:tr>
    </w:tbl>
    <w:p/>
    <w:p>
      <w:pPr>
        <w:pStyle w:val="Heading1"/>
      </w:pPr>
      <w:r>
        <w:t>5. Requisitos não funcionais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t>Código</w:t>
            </w:r>
          </w:p>
        </w:tc>
        <w:tc>
          <w:tcPr>
            <w:tcW w:type="dxa" w:w="2379"/>
          </w:tcPr>
          <w:p>
            <w:r>
              <w:t>Tema</w:t>
            </w:r>
          </w:p>
        </w:tc>
        <w:tc>
          <w:tcPr>
            <w:tcW w:type="dxa" w:w="2379"/>
          </w:tcPr>
          <w:p>
            <w:r>
              <w:t>Requisito mensurável / verificável</w:t>
            </w:r>
          </w:p>
        </w:tc>
        <w:tc>
          <w:tcPr>
            <w:tcW w:type="dxa" w:w="2379"/>
          </w:tcPr>
          <w:p>
            <w:r>
              <w:t>Prior.</w:t>
            </w:r>
          </w:p>
        </w:tc>
      </w:tr>
      <w:tr>
        <w:tc>
          <w:tcPr>
            <w:tcW w:type="dxa" w:w="2379"/>
          </w:tcPr>
          <w:p>
            <w:r>
              <w:t>RNF001</w:t>
            </w:r>
          </w:p>
        </w:tc>
        <w:tc>
          <w:tcPr>
            <w:tcW w:type="dxa" w:w="2379"/>
          </w:tcPr>
          <w:p>
            <w:r>
              <w:t>Segurança</w:t>
            </w:r>
          </w:p>
        </w:tc>
        <w:tc>
          <w:tcPr>
            <w:tcW w:type="dxa" w:w="2379"/>
          </w:tcPr>
          <w:p>
            <w:r>
              <w:t>Comunicação por HTTPS em produção; controlo de autorização em cada recurso privado.</w:t>
            </w:r>
          </w:p>
        </w:tc>
        <w:tc>
          <w:tcPr>
            <w:tcW w:type="dxa" w:w="2379"/>
          </w:tcPr>
          <w:p>
            <w:r>
              <w:t>P0</w:t>
            </w:r>
          </w:p>
        </w:tc>
      </w:tr>
      <w:tr>
        <w:tc>
          <w:tcPr>
            <w:tcW w:type="dxa" w:w="2379"/>
          </w:tcPr>
          <w:p>
            <w:r>
              <w:t>RNF002</w:t>
            </w:r>
          </w:p>
        </w:tc>
        <w:tc>
          <w:tcPr>
            <w:tcW w:type="dxa" w:w="2379"/>
          </w:tcPr>
          <w:p>
            <w:r>
              <w:t>Credenciais</w:t>
            </w:r>
          </w:p>
        </w:tc>
        <w:tc>
          <w:tcPr>
            <w:tcW w:type="dxa" w:w="2379"/>
          </w:tcPr>
          <w:p>
            <w:r>
              <w:t>Palavras-passe com hashing robusto; nunca armazenadas em texto simples.</w:t>
            </w:r>
          </w:p>
        </w:tc>
        <w:tc>
          <w:tcPr>
            <w:tcW w:type="dxa" w:w="2379"/>
          </w:tcPr>
          <w:p>
            <w:r>
              <w:t>P0</w:t>
            </w:r>
          </w:p>
        </w:tc>
      </w:tr>
      <w:tr>
        <w:tc>
          <w:tcPr>
            <w:tcW w:type="dxa" w:w="2379"/>
          </w:tcPr>
          <w:p>
            <w:r>
              <w:t>RNF003</w:t>
            </w:r>
          </w:p>
        </w:tc>
        <w:tc>
          <w:tcPr>
            <w:tcW w:type="dxa" w:w="2379"/>
          </w:tcPr>
          <w:p>
            <w:r>
              <w:t>Upload</w:t>
            </w:r>
          </w:p>
        </w:tc>
        <w:tc>
          <w:tcPr>
            <w:tcW w:type="dxa" w:w="2379"/>
          </w:tcPr>
          <w:p>
            <w:r>
              <w:t>Validar extensão, tipo real, tamanho configurável e conteúdo; rejeitar ficheiros maliciosos.</w:t>
            </w:r>
          </w:p>
        </w:tc>
        <w:tc>
          <w:tcPr>
            <w:tcW w:type="dxa" w:w="2379"/>
          </w:tcPr>
          <w:p>
            <w:r>
              <w:t>P0</w:t>
            </w:r>
          </w:p>
        </w:tc>
      </w:tr>
      <w:tr>
        <w:tc>
          <w:tcPr>
            <w:tcW w:type="dxa" w:w="2379"/>
          </w:tcPr>
          <w:p>
            <w:r>
              <w:t>RNF004</w:t>
            </w:r>
          </w:p>
        </w:tc>
        <w:tc>
          <w:tcPr>
            <w:tcW w:type="dxa" w:w="2379"/>
          </w:tcPr>
          <w:p>
            <w:r>
              <w:t>Privacidade</w:t>
            </w:r>
          </w:p>
        </w:tc>
        <w:tc>
          <w:tcPr>
            <w:tcW w:type="dxa" w:w="2379"/>
          </w:tcPr>
          <w:p>
            <w:r>
              <w:t>Acesso privado a fotografias; eliminação pelo titular e remoção de metadados desnecessários.</w:t>
            </w:r>
          </w:p>
        </w:tc>
        <w:tc>
          <w:tcPr>
            <w:tcW w:type="dxa" w:w="2379"/>
          </w:tcPr>
          <w:p>
            <w:r>
              <w:t>P0</w:t>
            </w:r>
          </w:p>
        </w:tc>
      </w:tr>
      <w:tr>
        <w:tc>
          <w:tcPr>
            <w:tcW w:type="dxa" w:w="2379"/>
          </w:tcPr>
          <w:p>
            <w:r>
              <w:t>RNF005</w:t>
            </w:r>
          </w:p>
        </w:tc>
        <w:tc>
          <w:tcPr>
            <w:tcW w:type="dxa" w:w="2379"/>
          </w:tcPr>
          <w:p>
            <w:r>
              <w:t>Compatibilidade</w:t>
            </w:r>
          </w:p>
        </w:tc>
        <w:tc>
          <w:tcPr>
            <w:tcW w:type="dxa" w:w="2379"/>
          </w:tcPr>
          <w:p>
            <w:r>
              <w:t>Interface funcional em navegadores modernos de computador e telemóvel.</w:t>
            </w:r>
          </w:p>
        </w:tc>
        <w:tc>
          <w:tcPr>
            <w:tcW w:type="dxa" w:w="2379"/>
          </w:tcPr>
          <w:p>
            <w:r>
              <w:t>P0</w:t>
            </w:r>
          </w:p>
        </w:tc>
      </w:tr>
      <w:tr>
        <w:tc>
          <w:tcPr>
            <w:tcW w:type="dxa" w:w="2379"/>
          </w:tcPr>
          <w:p>
            <w:r>
              <w:t>RNF006</w:t>
            </w:r>
          </w:p>
        </w:tc>
        <w:tc>
          <w:tcPr>
            <w:tcW w:type="dxa" w:w="2379"/>
          </w:tcPr>
          <w:p>
            <w:r>
              <w:t>Responsividade</w:t>
            </w:r>
          </w:p>
        </w:tc>
        <w:tc>
          <w:tcPr>
            <w:tcW w:type="dxa" w:w="2379"/>
          </w:tcPr>
          <w:p>
            <w:r>
              <w:t>Editor utilizável em ecrãs móveis, com gestos ou controlos alternativos.</w:t>
            </w:r>
          </w:p>
        </w:tc>
        <w:tc>
          <w:tcPr>
            <w:tcW w:type="dxa" w:w="2379"/>
          </w:tcPr>
          <w:p>
            <w:r>
              <w:t>P1</w:t>
            </w:r>
          </w:p>
        </w:tc>
      </w:tr>
      <w:tr>
        <w:tc>
          <w:tcPr>
            <w:tcW w:type="dxa" w:w="2379"/>
          </w:tcPr>
          <w:p>
            <w:r>
              <w:t>RNF007</w:t>
            </w:r>
          </w:p>
        </w:tc>
        <w:tc>
          <w:tcPr>
            <w:tcW w:type="dxa" w:w="2379"/>
          </w:tcPr>
          <w:p>
            <w:r>
              <w:t>Desempenho</w:t>
            </w:r>
          </w:p>
        </w:tc>
        <w:tc>
          <w:tcPr>
            <w:tcW w:type="dxa" w:w="2379"/>
          </w:tcPr>
          <w:p>
            <w:r>
              <w:t>Pré-visualização de ajustes manuais sem esperar por processamento remoto em condições normais.</w:t>
            </w:r>
          </w:p>
        </w:tc>
        <w:tc>
          <w:tcPr>
            <w:tcW w:type="dxa" w:w="2379"/>
          </w:tcPr>
          <w:p>
            <w:r>
              <w:t>P0</w:t>
            </w:r>
          </w:p>
        </w:tc>
      </w:tr>
      <w:tr>
        <w:tc>
          <w:tcPr>
            <w:tcW w:type="dxa" w:w="2379"/>
          </w:tcPr>
          <w:p>
            <w:r>
              <w:t>RNF008</w:t>
            </w:r>
          </w:p>
        </w:tc>
        <w:tc>
          <w:tcPr>
            <w:tcW w:type="dxa" w:w="2379"/>
          </w:tcPr>
          <w:p>
            <w:r>
              <w:t>Resiliência</w:t>
            </w:r>
          </w:p>
        </w:tc>
        <w:tc>
          <w:tcPr>
            <w:tcW w:type="dxa" w:w="2379"/>
          </w:tcPr>
          <w:p>
            <w:r>
              <w:t>Falha de deteção automática não bloqueia posicionamento manual.</w:t>
            </w:r>
          </w:p>
        </w:tc>
        <w:tc>
          <w:tcPr>
            <w:tcW w:type="dxa" w:w="2379"/>
          </w:tcPr>
          <w:p>
            <w:r>
              <w:t>P0</w:t>
            </w:r>
          </w:p>
        </w:tc>
      </w:tr>
      <w:tr>
        <w:tc>
          <w:tcPr>
            <w:tcW w:type="dxa" w:w="2379"/>
          </w:tcPr>
          <w:p>
            <w:r>
              <w:t>RNF009</w:t>
            </w:r>
          </w:p>
        </w:tc>
        <w:tc>
          <w:tcPr>
            <w:tcW w:type="dxa" w:w="2379"/>
          </w:tcPr>
          <w:p>
            <w:r>
              <w:t>Armazenamento</w:t>
            </w:r>
          </w:p>
        </w:tc>
        <w:tc>
          <w:tcPr>
            <w:tcW w:type="dxa" w:w="2379"/>
          </w:tcPr>
          <w:p>
            <w:r>
              <w:t>Imagens guardadas em armazenamento de objetos; base de dados guarda metadados e referências.</w:t>
            </w:r>
          </w:p>
        </w:tc>
        <w:tc>
          <w:tcPr>
            <w:tcW w:type="dxa" w:w="2379"/>
          </w:tcPr>
          <w:p>
            <w:r>
              <w:t>P0</w:t>
            </w:r>
          </w:p>
        </w:tc>
      </w:tr>
      <w:tr>
        <w:tc>
          <w:tcPr>
            <w:tcW w:type="dxa" w:w="2379"/>
          </w:tcPr>
          <w:p>
            <w:r>
              <w:t>RNF010</w:t>
            </w:r>
          </w:p>
        </w:tc>
        <w:tc>
          <w:tcPr>
            <w:tcW w:type="dxa" w:w="2379"/>
          </w:tcPr>
          <w:p>
            <w:r>
              <w:t>Observabilidade</w:t>
            </w:r>
          </w:p>
        </w:tc>
        <w:tc>
          <w:tcPr>
            <w:tcW w:type="dxa" w:w="2379"/>
          </w:tcPr>
          <w:p>
            <w:r>
              <w:t>Logs estruturados e identificadores de tarefa, sem divulgar dados pessoais desnecessários.</w:t>
            </w:r>
          </w:p>
        </w:tc>
        <w:tc>
          <w:tcPr>
            <w:tcW w:type="dxa" w:w="2379"/>
          </w:tcPr>
          <w:p>
            <w:r>
              <w:t>P1</w:t>
            </w:r>
          </w:p>
        </w:tc>
      </w:tr>
      <w:tr>
        <w:tc>
          <w:tcPr>
            <w:tcW w:type="dxa" w:w="2379"/>
          </w:tcPr>
          <w:p>
            <w:r>
              <w:t>RNF011</w:t>
            </w:r>
          </w:p>
        </w:tc>
        <w:tc>
          <w:tcPr>
            <w:tcW w:type="dxa" w:w="2379"/>
          </w:tcPr>
          <w:p>
            <w:r>
              <w:t>Manutenção</w:t>
            </w:r>
          </w:p>
        </w:tc>
        <w:tc>
          <w:tcPr>
            <w:tcW w:type="dxa" w:w="2379"/>
          </w:tcPr>
          <w:p>
            <w:r>
              <w:t>Separar módulos de catálogo, projetos e processamento visual.</w:t>
            </w:r>
          </w:p>
        </w:tc>
        <w:tc>
          <w:tcPr>
            <w:tcW w:type="dxa" w:w="2379"/>
          </w:tcPr>
          <w:p>
            <w:r>
              <w:t>P0</w:t>
            </w:r>
          </w:p>
        </w:tc>
      </w:tr>
      <w:tr>
        <w:tc>
          <w:tcPr>
            <w:tcW w:type="dxa" w:w="2379"/>
          </w:tcPr>
          <w:p>
            <w:r>
              <w:t>RNF012</w:t>
            </w:r>
          </w:p>
        </w:tc>
        <w:tc>
          <w:tcPr>
            <w:tcW w:type="dxa" w:w="2379"/>
          </w:tcPr>
          <w:p>
            <w:r>
              <w:t>Backup</w:t>
            </w:r>
          </w:p>
        </w:tc>
        <w:tc>
          <w:tcPr>
            <w:tcW w:type="dxa" w:w="2379"/>
          </w:tcPr>
          <w:p>
            <w:r>
              <w:t>Implementar cópias de segurança e testar restauro de metadados e ficheiros.</w:t>
            </w:r>
          </w:p>
        </w:tc>
        <w:tc>
          <w:tcPr>
            <w:tcW w:type="dxa" w:w="2379"/>
          </w:tcPr>
          <w:p>
            <w:r>
              <w:t>P1</w:t>
            </w:r>
          </w:p>
        </w:tc>
      </w:tr>
    </w:tbl>
    <w:p/>
    <w:p>
      <w:r>
        <w:t>Nota: limites numéricos de upload, tempos de resposta, retenção e capacidade serão estabelecidos após testes com fotografias reais e definição da infraestrutura; não se assumem valores arbitrários nesta versão.</w:t>
      </w:r>
    </w:p>
    <w:p>
      <w:pPr>
        <w:pStyle w:val="Heading1"/>
      </w:pPr>
      <w:r>
        <w:t>6. Fluxos principais</w:t>
      </w:r>
    </w:p>
    <w:p>
      <w:pPr>
        <w:pStyle w:val="Heading2"/>
      </w:pPr>
      <w:r>
        <w:t>F01 — Personalizar fotografia própria</w:t>
      </w:r>
    </w:p>
    <w:p>
      <w:r>
        <w:t>Carregar imagem → validar ficheiro → abrir editor → selecionar jante → ajustar rodas → comparar → guardar/exportar.</w:t>
      </w:r>
    </w:p>
    <w:p>
      <w:pPr>
        <w:pStyle w:val="Heading2"/>
      </w:pPr>
      <w:r>
        <w:t>F02 — Personalizar veículo do catálogo</w:t>
      </w:r>
    </w:p>
    <w:p>
      <w:r>
        <w:t>Selecionar marca/modelo → escolher imagem do veículo → selecionar jante → ajustar → comparar → guardar/exportar.</w:t>
      </w:r>
    </w:p>
    <w:p>
      <w:pPr>
        <w:pStyle w:val="Heading2"/>
      </w:pPr>
      <w:r>
        <w:t>F03 — Administrar acessório</w:t>
      </w:r>
    </w:p>
    <w:p>
      <w:r>
        <w:t>Autenticar como administrador → criar categoria/acessório → carregar recurso transparente → validar → publicar.</w:t>
      </w:r>
    </w:p>
    <w:p>
      <w:pPr>
        <w:pStyle w:val="Heading1"/>
      </w:pPr>
      <w:r>
        <w:t>7. Dados essenciais</w:t>
      </w:r>
    </w:p>
    <w:p>
      <w:r>
        <w:t>Entidades candidatas: User, Brand, VehicleModel, VehicleGeneration, Vehicle, VehicleAsset, AccessoryCategory, Accessory, AccessorySpecification, AccessoryAsset, CompatibilityRule, CustomizationProject, ProjectItem, ProjectImage e RenderJob. O desenho físico será definido no documento de modelo de dados.</w:t>
      </w:r>
    </w:p>
    <w:p>
      <w:pPr>
        <w:pStyle w:val="Heading1"/>
      </w:pPr>
      <w:r>
        <w:t>8. Dependências, riscos e decisões pendentes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Tema</w:t>
            </w:r>
          </w:p>
        </w:tc>
        <w:tc>
          <w:tcPr>
            <w:tcW w:type="dxa" w:w="4759"/>
          </w:tcPr>
          <w:p>
            <w:r>
              <w:t>Decisão / risco</w:t>
            </w:r>
          </w:p>
        </w:tc>
      </w:tr>
      <w:tr>
        <w:tc>
          <w:tcPr>
            <w:tcW w:type="dxa" w:w="4759"/>
          </w:tcPr>
          <w:p>
            <w:r>
              <w:t>Catálogo de imagens</w:t>
            </w:r>
          </w:p>
        </w:tc>
        <w:tc>
          <w:tcPr>
            <w:tcW w:type="dxa" w:w="4759"/>
          </w:tcPr>
          <w:p>
            <w:r>
              <w:t>Confirmar direitos de utilização de fotografias de carros e acessórios.</w:t>
            </w:r>
          </w:p>
        </w:tc>
      </w:tr>
      <w:tr>
        <w:tc>
          <w:tcPr>
            <w:tcW w:type="dxa" w:w="4759"/>
          </w:tcPr>
          <w:p>
            <w:r>
              <w:t>Precisão visual</w:t>
            </w:r>
          </w:p>
        </w:tc>
        <w:tc>
          <w:tcPr>
            <w:tcW w:type="dxa" w:w="4759"/>
          </w:tcPr>
          <w:p>
            <w:r>
              <w:t>Fotografias com ângulos desfavoráveis podem exigir ajuste manual.</w:t>
            </w:r>
          </w:p>
        </w:tc>
      </w:tr>
      <w:tr>
        <w:tc>
          <w:tcPr>
            <w:tcW w:type="dxa" w:w="4759"/>
          </w:tcPr>
          <w:p>
            <w:r>
              <w:t>Compatibilidade</w:t>
            </w:r>
          </w:p>
        </w:tc>
        <w:tc>
          <w:tcPr>
            <w:tcW w:type="dxa" w:w="4759"/>
          </w:tcPr>
          <w:p>
            <w:r>
              <w:t>Definir fonte e validação das especificações técnicas por veículo.</w:t>
            </w:r>
          </w:p>
        </w:tc>
      </w:tr>
      <w:tr>
        <w:tc>
          <w:tcPr>
            <w:tcW w:type="dxa" w:w="4759"/>
          </w:tcPr>
          <w:p>
            <w:r>
              <w:t>Acesso de visitantes</w:t>
            </w:r>
          </w:p>
        </w:tc>
        <w:tc>
          <w:tcPr>
            <w:tcW w:type="dxa" w:w="4759"/>
          </w:tcPr>
          <w:p>
            <w:r>
              <w:t>Confirmar se a exportação exige conta ou fica disponível sem registo.</w:t>
            </w:r>
          </w:p>
        </w:tc>
      </w:tr>
      <w:tr>
        <w:tc>
          <w:tcPr>
            <w:tcW w:type="dxa" w:w="4759"/>
          </w:tcPr>
          <w:p>
            <w:r>
              <w:t>Persistência</w:t>
            </w:r>
          </w:p>
        </w:tc>
        <w:tc>
          <w:tcPr>
            <w:tcW w:type="dxa" w:w="4759"/>
          </w:tcPr>
          <w:p>
            <w:r>
              <w:t>Definir política de retenção e eliminação de fotografias e projetos.</w:t>
            </w:r>
          </w:p>
        </w:tc>
      </w:tr>
      <w:tr>
        <w:tc>
          <w:tcPr>
            <w:tcW w:type="dxa" w:w="4759"/>
          </w:tcPr>
          <w:p>
            <w:r>
              <w:t>3D e IA</w:t>
            </w:r>
          </w:p>
        </w:tc>
        <w:tc>
          <w:tcPr>
            <w:tcW w:type="dxa" w:w="4759"/>
          </w:tcPr>
          <w:p>
            <w:r>
              <w:t>Não bloqueiam o MVP; entram em fases posteriores.</w:t>
            </w:r>
          </w:p>
        </w:tc>
      </w:tr>
      <w:tr>
        <w:tc>
          <w:tcPr>
            <w:tcW w:type="dxa" w:w="4759"/>
          </w:tcPr>
          <w:p>
            <w:r>
              <w:t>Multi-loja</w:t>
            </w:r>
          </w:p>
        </w:tc>
        <w:tc>
          <w:tcPr>
            <w:tcW w:type="dxa" w:w="4759"/>
          </w:tcPr>
          <w:p>
            <w:r>
              <w:t>Fora do âmbito atual; reavaliar antes de introduzir contas empresariais.</w:t>
            </w:r>
          </w:p>
        </w:tc>
      </w:tr>
    </w:tbl>
    <w:p/>
    <w:p>
      <w:pPr>
        <w:pStyle w:val="Heading1"/>
      </w:pPr>
      <w:r>
        <w:t>9. Critérios de aceitação do MVP</w:t>
      </w:r>
    </w:p>
    <w:p>
      <w:pPr>
        <w:pStyle w:val="ListBullet"/>
      </w:pPr>
      <w:r>
        <w:t>Um visitante consegue selecionar um carro do catálogo e testar visualmente uma jante.</w:t>
      </w:r>
    </w:p>
    <w:p>
      <w:pPr>
        <w:pStyle w:val="ListBullet"/>
      </w:pPr>
      <w:r>
        <w:t>Um utilizador consegue carregar fotografia própria e posicionar uma jante manualmente.</w:t>
      </w:r>
    </w:p>
    <w:p>
      <w:pPr>
        <w:pStyle w:val="ListBullet"/>
      </w:pPr>
      <w:r>
        <w:t>A pré-visualização permite comparar antes/depois e exportar uma imagem.</w:t>
      </w:r>
    </w:p>
    <w:p>
      <w:pPr>
        <w:pStyle w:val="ListBullet"/>
      </w:pPr>
      <w:r>
        <w:t>Um cliente autenticado consegue guardar e reabrir um projeto sem perder ajustes.</w:t>
      </w:r>
    </w:p>
    <w:p>
      <w:pPr>
        <w:pStyle w:val="ListBullet"/>
      </w:pPr>
      <w:r>
        <w:t>Um administrador consegue criar marcas, modelos, categorias, acessórios e imagens.</w:t>
      </w:r>
    </w:p>
    <w:p>
      <w:pPr>
        <w:pStyle w:val="ListBullet"/>
      </w:pPr>
      <w:r>
        <w:t>Um cliente não consegue consultar ou modificar projetos de outro cliente.</w:t>
      </w:r>
    </w:p>
    <w:p>
      <w:pPr>
        <w:pStyle w:val="ListBullet"/>
      </w:pPr>
      <w:r>
        <w:t>Nenhum fluxo do MVP exige preços, custos, pagamentos ou orçamentos.</w:t>
      </w:r>
    </w:p>
    <w:p>
      <w:pPr>
        <w:pStyle w:val="Heading1"/>
      </w:pPr>
      <w:r>
        <w:t>10. Aprovação e histórico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t>Versão</w:t>
            </w:r>
          </w:p>
        </w:tc>
        <w:tc>
          <w:tcPr>
            <w:tcW w:type="dxa" w:w="2379"/>
          </w:tcPr>
          <w:p>
            <w:r>
              <w:t>Data</w:t>
            </w:r>
          </w:p>
        </w:tc>
        <w:tc>
          <w:tcPr>
            <w:tcW w:type="dxa" w:w="2379"/>
          </w:tcPr>
          <w:p>
            <w:r>
              <w:t>Alteração</w:t>
            </w:r>
          </w:p>
        </w:tc>
        <w:tc>
          <w:tcPr>
            <w:tcW w:type="dxa" w:w="2379"/>
          </w:tcPr>
          <w:p>
            <w:r>
              <w:t>Estado</w:t>
            </w:r>
          </w:p>
        </w:tc>
      </w:tr>
      <w:tr>
        <w:tc>
          <w:tcPr>
            <w:tcW w:type="dxa" w:w="2379"/>
          </w:tcPr>
          <w:p>
            <w:r>
              <w:t>1.0</w:t>
            </w:r>
          </w:p>
        </w:tc>
        <w:tc>
          <w:tcPr>
            <w:tcW w:type="dxa" w:w="2379"/>
          </w:tcPr>
          <w:p>
            <w:r>
              <w:t>21/10/2026</w:t>
            </w:r>
          </w:p>
        </w:tc>
        <w:tc>
          <w:tcPr>
            <w:tcW w:type="dxa" w:w="2379"/>
          </w:tcPr>
          <w:p>
            <w:r>
              <w:t>Especificação inicial alinhada com o Documento de Visão e exclusão comercial.</w:t>
            </w:r>
          </w:p>
        </w:tc>
        <w:tc>
          <w:tcPr>
            <w:tcW w:type="dxa" w:w="2379"/>
          </w:tcPr>
          <w:p>
            <w:r>
              <w:t>Por validar</w:t>
            </w:r>
          </w:p>
        </w:tc>
      </w:tr>
    </w:tbl>
    <w:p/>
    <w:p>
      <w:r>
        <w:t>Aprovação funcional: ____________________    Data: ____ / ____ / 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AV-DOC-002  •  Versão 1.0  •  21/10/2026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AUTOVISION  /  ENGENHARIA DE REQUISITOS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7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7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75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