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AutoVision</w:t>
      </w:r>
    </w:p>
    <w:p>
      <w:pPr>
        <w:pStyle w:val="Subtitle"/>
      </w:pPr>
      <w:r>
        <w:t>DOCUMENTO 03 | ESPECIFICAÇÃO DE REGRAS DE NEGÓCIO</w:t>
      </w:r>
    </w:p>
    <w:p>
      <w:r>
        <w:t>Versão 1.0  •  21/10/2026  •  Estado: versão inicial para revisão</w:t>
      </w:r>
    </w:p>
    <w:p>
      <w:pPr>
        <w:pStyle w:val="Heading1"/>
      </w:pPr>
      <w:r>
        <w:t>1. Identificação e finalidade</w:t>
      </w:r>
    </w:p>
    <w:p>
      <w:r>
        <w:t>Código: AV-DOC-003. Este documento define regras verificáveis de funcionamento da plataforma de pré-visualização de acessórios automóveis, para fotografias enviadas pelos clientes e veículos do catálogo. Complementa AV-DOC-001 (Visão) e AV-DOC-002 (Requisitos).</w:t>
      </w:r>
    </w:p>
    <w:p>
      <w:r>
        <w:t>Âmbito: visualização e personalização, inicialmente de jantes. Excluem-se preços, custos, stock, vendas, pagamentos, encomendas e orçamentos.</w:t>
      </w:r>
    </w:p>
    <w:p>
      <w:pPr>
        <w:pStyle w:val="Heading1"/>
      </w:pPr>
      <w:r>
        <w:t>2. Convenções e prioridades</w:t>
      </w:r>
    </w:p>
    <w:p>
      <w:r>
        <w:t>Identificadores RN-XXX; prioridade Alta (necessária no MVP), Média (melhoria relevante) ou Futura. “Deve” indica comportamento obrigatório. Regras pendentes de decisão estão identificadas no fim.</w:t>
      </w:r>
    </w:p>
    <w:p>
      <w:pPr>
        <w:pStyle w:val="Heading1"/>
      </w:pPr>
      <w:r>
        <w:t>3. Catálogo de veículos</w:t>
      </w:r>
    </w:p>
    <w:p>
      <w:r>
        <w:rPr>
          <w:b/>
        </w:rPr>
        <w:t xml:space="preserve">RN-001  </w:t>
      </w:r>
      <w:r>
        <w:t>Cada modelo de veículo deve estar associado a uma única marca registada.</w:t>
      </w:r>
    </w:p>
    <w:p>
      <w:pPr>
        <w:pStyle w:val="Caption"/>
      </w:pPr>
      <w:r>
        <w:t>Prioridade: Alta  |  Verificação: Não permitir guardar modelo sem marca válida.</w:t>
      </w:r>
    </w:p>
    <w:p>
      <w:r>
        <w:rPr>
          <w:b/>
        </w:rPr>
        <w:t xml:space="preserve">RN-002  </w:t>
      </w:r>
      <w:r>
        <w:t>Uma geração deve pertencer a um modelo e ter intervalo de anos coerente (ano inicial não superior ao final).</w:t>
      </w:r>
    </w:p>
    <w:p>
      <w:pPr>
        <w:pStyle w:val="Caption"/>
      </w:pPr>
      <w:r>
        <w:t>Prioridade: Alta  |  Verificação: Rejeitar intervalos de anos inválidos.</w:t>
      </w:r>
    </w:p>
    <w:p>
      <w:r>
        <w:rPr>
          <w:b/>
        </w:rPr>
        <w:t xml:space="preserve">RN-003  </w:t>
      </w:r>
      <w:r>
        <w:t>Cada recurso visual de catálogo deve identificar o veículo, o ângulo de vista e o tipo de ficheiro.</w:t>
      </w:r>
    </w:p>
    <w:p>
      <w:pPr>
        <w:pStyle w:val="Caption"/>
      </w:pPr>
      <w:r>
        <w:t>Prioridade: Alta  |  Verificação: Não disponibilizar no simulador recursos sem identificação de vista.</w:t>
      </w:r>
    </w:p>
    <w:p>
      <w:r>
        <w:rPr>
          <w:b/>
        </w:rPr>
        <w:t xml:space="preserve">RN-004  </w:t>
      </w:r>
      <w:r>
        <w:t>Um veículo sem recurso visual adequado pode aparecer no catálogo, mas não pode iniciar uma simulação nessa vista.</w:t>
      </w:r>
    </w:p>
    <w:p>
      <w:pPr>
        <w:pStyle w:val="Caption"/>
      </w:pPr>
      <w:r>
        <w:t>Prioridade: Alta  |  Verificação: Apresentar mensagem explicativa e alternativa disponível.</w:t>
      </w:r>
    </w:p>
    <w:p>
      <w:r>
        <w:rPr>
          <w:b/>
        </w:rPr>
        <w:t xml:space="preserve">RN-005  </w:t>
      </w:r>
      <w:r>
        <w:t>Os recursos do catálogo devem ser utilizados apenas quando exista autorização/licença de utilização.</w:t>
      </w:r>
    </w:p>
    <w:p>
      <w:pPr>
        <w:pStyle w:val="Caption"/>
      </w:pPr>
      <w:r>
        <w:t>Prioridade: Alta  |  Verificação: Bloquear publicação de recurso sem estado de autorização confirmado.</w:t>
      </w:r>
    </w:p>
    <w:p>
      <w:pPr>
        <w:pStyle w:val="Heading1"/>
      </w:pPr>
      <w:r>
        <w:t>4. Acessórios e especificações</w:t>
      </w:r>
    </w:p>
    <w:p>
      <w:r>
        <w:rPr>
          <w:b/>
        </w:rPr>
        <w:t xml:space="preserve">RN-006  </w:t>
      </w:r>
      <w:r>
        <w:t>Cada acessório deve pertencer a uma categoria ativa.</w:t>
      </w:r>
    </w:p>
    <w:p>
      <w:pPr>
        <w:pStyle w:val="Caption"/>
      </w:pPr>
      <w:r>
        <w:t>Prioridade: Alta  |  Verificação: Rejeitar associação a categoria inexistente ou inativa.</w:t>
      </w:r>
    </w:p>
    <w:p>
      <w:r>
        <w:rPr>
          <w:b/>
        </w:rPr>
        <w:t xml:space="preserve">RN-007  </w:t>
      </w:r>
      <w:r>
        <w:t>As especificações técnicas devem ser definidas por categoria; para jantes podem incluir diâmetro, largura, PCD, ET e furo central.</w:t>
      </w:r>
    </w:p>
    <w:p>
      <w:pPr>
        <w:pStyle w:val="Caption"/>
      </w:pPr>
      <w:r>
        <w:t>Prioridade: Alta  |  Verificação: Validar campos obrigatórios configurados para a categoria.</w:t>
      </w:r>
    </w:p>
    <w:p>
      <w:r>
        <w:rPr>
          <w:b/>
        </w:rPr>
        <w:t xml:space="preserve">RN-008  </w:t>
      </w:r>
      <w:r>
        <w:t>Para ser selecionável numa modalidade visual, o acessório deve possuir recurso compatível com essa modalidade (imagem 2D ou modelo 3D).</w:t>
      </w:r>
    </w:p>
    <w:p>
      <w:pPr>
        <w:pStyle w:val="Caption"/>
      </w:pPr>
      <w:r>
        <w:t>Prioridade: Alta  |  Verificação: Ocultar ou desativar a opção quando o recurso faltar.</w:t>
      </w:r>
    </w:p>
    <w:p>
      <w:r>
        <w:rPr>
          <w:b/>
        </w:rPr>
        <w:t xml:space="preserve">RN-009  </w:t>
      </w:r>
      <w:r>
        <w:t>A desativação de um acessório impede novas seleções, mas não deve apagar automaticamente projetos existentes.</w:t>
      </w:r>
    </w:p>
    <w:p>
      <w:pPr>
        <w:pStyle w:val="Caption"/>
      </w:pPr>
      <w:r>
        <w:t>Prioridade: Média  |  Verificação: Preservar histórico com indicação de indisponibilidade.</w:t>
      </w:r>
    </w:p>
    <w:p>
      <w:r>
        <w:rPr>
          <w:b/>
        </w:rPr>
        <w:t xml:space="preserve">RN-010  </w:t>
      </w:r>
      <w:r>
        <w:t>Os acessórios não devem possuir campos monetários obrigatórios nem originar processos comerciais nesta versão.</w:t>
      </w:r>
    </w:p>
    <w:p>
      <w:pPr>
        <w:pStyle w:val="Caption"/>
      </w:pPr>
      <w:r>
        <w:t>Prioridade: Alta  |  Verificação: Interfaces e API não solicitam preço ou custo.</w:t>
      </w:r>
    </w:p>
    <w:p>
      <w:pPr>
        <w:pStyle w:val="Heading1"/>
      </w:pPr>
      <w:r>
        <w:t>5. Fotografias do cliente</w:t>
      </w:r>
    </w:p>
    <w:p>
      <w:r>
        <w:rPr>
          <w:b/>
        </w:rPr>
        <w:t xml:space="preserve">RN-011  </w:t>
      </w:r>
      <w:r>
        <w:t>A fotografia enviada deve ser validada quanto ao tipo real do ficheiro, tamanho e integridade; limites serão configuráveis.</w:t>
      </w:r>
    </w:p>
    <w:p>
      <w:pPr>
        <w:pStyle w:val="Caption"/>
      </w:pPr>
      <w:r>
        <w:t>Prioridade: Alta  |  Verificação: Rejeitar ficheiros inválidos com motivo compreensível.</w:t>
      </w:r>
    </w:p>
    <w:p>
      <w:r>
        <w:rPr>
          <w:b/>
        </w:rPr>
        <w:t xml:space="preserve">RN-012  </w:t>
      </w:r>
      <w:r>
        <w:t>A fotografia deve pertencer ao projeto e ao utilizador autorizado que a enviou; o acesso deve ser controlado.</w:t>
      </w:r>
    </w:p>
    <w:p>
      <w:pPr>
        <w:pStyle w:val="Caption"/>
      </w:pPr>
      <w:r>
        <w:t>Prioridade: Alta  |  Verificação: Bloquear acesso de outro cliente ao ficheiro.</w:t>
      </w:r>
    </w:p>
    <w:p>
      <w:r>
        <w:rPr>
          <w:b/>
        </w:rPr>
        <w:t xml:space="preserve">RN-013  </w:t>
      </w:r>
      <w:r>
        <w:t>Se as rodas não forem detetadas com confiança suficiente, deve existir posicionamento manual ou indicação de impossibilidade de simular.</w:t>
      </w:r>
    </w:p>
    <w:p>
      <w:pPr>
        <w:pStyle w:val="Caption"/>
      </w:pPr>
      <w:r>
        <w:t>Prioridade: Alta  |  Verificação: Permitir correção manual sem apresentar deteção incerta como exata.</w:t>
      </w:r>
    </w:p>
    <w:p>
      <w:r>
        <w:rPr>
          <w:b/>
        </w:rPr>
        <w:t xml:space="preserve">RN-014  </w:t>
      </w:r>
      <w:r>
        <w:t>A transformação visual deve preservar a fotografia original, criando um resultado separado.</w:t>
      </w:r>
    </w:p>
    <w:p>
      <w:pPr>
        <w:pStyle w:val="Caption"/>
      </w:pPr>
      <w:r>
        <w:t>Prioridade: Alta  |  Verificação: Original permanece disponível após gerar a simulação.</w:t>
      </w:r>
    </w:p>
    <w:p>
      <w:r>
        <w:rPr>
          <w:b/>
        </w:rPr>
        <w:t xml:space="preserve">RN-015  </w:t>
      </w:r>
      <w:r>
        <w:t>Fotografias com qualidade insuficiente podem ser recusadas com instruções para novo envio.</w:t>
      </w:r>
    </w:p>
    <w:p>
      <w:pPr>
        <w:pStyle w:val="Caption"/>
      </w:pPr>
      <w:r>
        <w:t>Prioridade: Média  |  Verificação: Indicar problema como resolução, oclusão ou enquadramento.</w:t>
      </w:r>
    </w:p>
    <w:p>
      <w:r>
        <w:rPr>
          <w:b/>
        </w:rPr>
        <w:t xml:space="preserve">RN-016  </w:t>
      </w:r>
      <w:r>
        <w:t>O utilizador deve poder eliminar as suas fotografias, sujeito às regras de retenção documentadas.</w:t>
      </w:r>
    </w:p>
    <w:p>
      <w:pPr>
        <w:pStyle w:val="Caption"/>
      </w:pPr>
      <w:r>
        <w:t>Prioridade: Alta  |  Verificação: Remover acessos e desencadear eliminação conforme política definida.</w:t>
      </w:r>
    </w:p>
    <w:p>
      <w:pPr>
        <w:pStyle w:val="Heading1"/>
      </w:pPr>
      <w:r>
        <w:t>6. Simulação e compatibilidade</w:t>
      </w:r>
    </w:p>
    <w:p>
      <w:r>
        <w:rPr>
          <w:b/>
        </w:rPr>
        <w:t xml:space="preserve">RN-017  </w:t>
      </w:r>
      <w:r>
        <w:t>Cada simulação deve identificar origem (fotografia ou catálogo), acessório(s) selecionado(s) e parâmetros de posicionamento.</w:t>
      </w:r>
    </w:p>
    <w:p>
      <w:pPr>
        <w:pStyle w:val="Caption"/>
      </w:pPr>
      <w:r>
        <w:t>Prioridade: Alta  |  Verificação: Guardar dados necessários para reabrir ou reproduzir a configuração.</w:t>
      </w:r>
    </w:p>
    <w:p>
      <w:r>
        <w:rPr>
          <w:b/>
        </w:rPr>
        <w:t xml:space="preserve">RN-018  </w:t>
      </w:r>
      <w:r>
        <w:t>A aplicação visual da jante deve permitir ajustes de escala, rotação e posição quando a modalidade o suportar.</w:t>
      </w:r>
    </w:p>
    <w:p>
      <w:pPr>
        <w:pStyle w:val="Caption"/>
      </w:pPr>
      <w:r>
        <w:t>Prioridade: Alta  |  Verificação: O utilizador consegue corrigir o encaixe visual.</w:t>
      </w:r>
    </w:p>
    <w:p>
      <w:r>
        <w:rPr>
          <w:b/>
        </w:rPr>
        <w:t xml:space="preserve">RN-019  </w:t>
      </w:r>
      <w:r>
        <w:t>A comparação antes/depois deve utilizar a mesma vista base do veículo.</w:t>
      </w:r>
    </w:p>
    <w:p>
      <w:pPr>
        <w:pStyle w:val="Caption"/>
      </w:pPr>
      <w:r>
        <w:t>Prioridade: Alta  |  Verificação: Comparação não mistura ângulos diferentes.</w:t>
      </w:r>
    </w:p>
    <w:p>
      <w:r>
        <w:rPr>
          <w:b/>
        </w:rPr>
        <w:t xml:space="preserve">RN-020  </w:t>
      </w:r>
      <w:r>
        <w:t>A compatibilidade técnica só pode ser assinalada como confirmada quando existirem dados suficientes e regras aplicáveis.</w:t>
      </w:r>
    </w:p>
    <w:p>
      <w:pPr>
        <w:pStyle w:val="Caption"/>
      </w:pPr>
      <w:r>
        <w:t>Prioridade: Alta  |  Verificação: Se faltarem dados, apresentar “não verificada”.</w:t>
      </w:r>
    </w:p>
    <w:p>
      <w:r>
        <w:rPr>
          <w:b/>
        </w:rPr>
        <w:t xml:space="preserve">RN-021  </w:t>
      </w:r>
      <w:r>
        <w:t>Uma simulação visual concluída não equivale a confirmação de montagem, segurança ou homologação.</w:t>
      </w:r>
    </w:p>
    <w:p>
      <w:pPr>
        <w:pStyle w:val="Caption"/>
      </w:pPr>
      <w:r>
        <w:t>Prioridade: Alta  |  Verificação: Mostrar aviso de carácter ilustrativo junto ao resultado.</w:t>
      </w:r>
    </w:p>
    <w:p>
      <w:r>
        <w:rPr>
          <w:b/>
        </w:rPr>
        <w:t xml:space="preserve">RN-022  </w:t>
      </w:r>
      <w:r>
        <w:t>Um erro de processamento não deve alterar nem eliminar a fotografia original ou a configuração guardada.</w:t>
      </w:r>
    </w:p>
    <w:p>
      <w:pPr>
        <w:pStyle w:val="Caption"/>
      </w:pPr>
      <w:r>
        <w:t>Prioridade: Alta  |  Verificação: Tarefa falhada mantém projeto e permite tentar novamente.</w:t>
      </w:r>
    </w:p>
    <w:p>
      <w:r>
        <w:rPr>
          <w:b/>
        </w:rPr>
        <w:t xml:space="preserve">RN-023  </w:t>
      </w:r>
      <w:r>
        <w:t>Tarefas demoradas devem apresentar estado: pendente, em processamento, concluída ou falhada.</w:t>
      </w:r>
    </w:p>
    <w:p>
      <w:pPr>
        <w:pStyle w:val="Caption"/>
      </w:pPr>
      <w:r>
        <w:t>Prioridade: Alta  |  Verificação: Frontend consulta o estado e apresenta o resultado quando pronto.</w:t>
      </w:r>
    </w:p>
    <w:p>
      <w:pPr>
        <w:pStyle w:val="Heading1"/>
      </w:pPr>
      <w:r>
        <w:t>7. Projetos e utilizadores</w:t>
      </w:r>
    </w:p>
    <w:p>
      <w:r>
        <w:rPr>
          <w:b/>
        </w:rPr>
        <w:t xml:space="preserve">RN-024  </w:t>
      </w:r>
      <w:r>
        <w:t>Um projeto deve possuir um identificador único e um proprietário autenticado quando for guardado permanentemente.</w:t>
      </w:r>
    </w:p>
    <w:p>
      <w:pPr>
        <w:pStyle w:val="Caption"/>
      </w:pPr>
      <w:r>
        <w:t>Prioridade: Alta  |  Verificação: Projetos persistidos são associados ao utilizador.</w:t>
      </w:r>
    </w:p>
    <w:p>
      <w:r>
        <w:rPr>
          <w:b/>
        </w:rPr>
        <w:t xml:space="preserve">RN-025  </w:t>
      </w:r>
      <w:r>
        <w:t>Um utilizador só pode consultar, alterar ou eliminar os seus projetos, salvo permissões administrativas explicitamente definidas.</w:t>
      </w:r>
    </w:p>
    <w:p>
      <w:pPr>
        <w:pStyle w:val="Caption"/>
      </w:pPr>
      <w:r>
        <w:t>Prioridade: Alta  |  Verificação: Tentativa de acesso não autorizado é recusada.</w:t>
      </w:r>
    </w:p>
    <w:p>
      <w:r>
        <w:rPr>
          <w:b/>
        </w:rPr>
        <w:t xml:space="preserve">RN-026  </w:t>
      </w:r>
      <w:r>
        <w:t>Guardar uma nova versão de simulação não deve substituir automaticamente o original nem versões que o utilizador tenha decidido conservar.</w:t>
      </w:r>
    </w:p>
    <w:p>
      <w:pPr>
        <w:pStyle w:val="Caption"/>
      </w:pPr>
      <w:r>
        <w:t>Prioridade: Média  |  Verificação: Permitir recuperar versões guardadas.</w:t>
      </w:r>
    </w:p>
    <w:p>
      <w:r>
        <w:rPr>
          <w:b/>
        </w:rPr>
        <w:t xml:space="preserve">RN-027  </w:t>
      </w:r>
      <w:r>
        <w:t>A exportação deve incluir apenas recursos autorizados e não expor caminhos internos ou dados de outros utilizadores.</w:t>
      </w:r>
    </w:p>
    <w:p>
      <w:pPr>
        <w:pStyle w:val="Caption"/>
      </w:pPr>
      <w:r>
        <w:t>Prioridade: Alta  |  Verificação: Ficheiro exportado não contém referências privadas.</w:t>
      </w:r>
    </w:p>
    <w:p>
      <w:r>
        <w:rPr>
          <w:b/>
        </w:rPr>
        <w:t xml:space="preserve">RN-028  </w:t>
      </w:r>
      <w:r>
        <w:t>Visitantes podem explorar o catálogo; guardar projetos exige autenticação. A simulação sem conta fica sujeita a decisão de produto.</w:t>
      </w:r>
    </w:p>
    <w:p>
      <w:pPr>
        <w:pStyle w:val="Caption"/>
      </w:pPr>
      <w:r>
        <w:t>Prioridade: Alta  |  Verificação: Ação “guardar” solicita autenticação.</w:t>
      </w:r>
    </w:p>
    <w:p>
      <w:pPr>
        <w:pStyle w:val="Heading1"/>
      </w:pPr>
      <w:r>
        <w:t>8. Administração, segurança e auditoria</w:t>
      </w:r>
    </w:p>
    <w:p>
      <w:r>
        <w:rPr>
          <w:b/>
        </w:rPr>
        <w:t xml:space="preserve">RN-029  </w:t>
      </w:r>
      <w:r>
        <w:t>Apenas utilizadores com permissões administrativas podem criar, editar, publicar ou desativar itens do catálogo.</w:t>
      </w:r>
    </w:p>
    <w:p>
      <w:pPr>
        <w:pStyle w:val="Caption"/>
      </w:pPr>
      <w:r>
        <w:t>Prioridade: Alta  |  Verificação: Operações administrativas recusadas a clientes.</w:t>
      </w:r>
    </w:p>
    <w:p>
      <w:r>
        <w:rPr>
          <w:b/>
        </w:rPr>
        <w:t xml:space="preserve">RN-030  </w:t>
      </w:r>
      <w:r>
        <w:t>O sistema deve registar alterações relevantes ao catálogo e ações administrativas com data e responsável.</w:t>
      </w:r>
    </w:p>
    <w:p>
      <w:pPr>
        <w:pStyle w:val="Caption"/>
      </w:pPr>
      <w:r>
        <w:t>Prioridade: Média  |  Verificação: Auditoria permite identificar alterações.</w:t>
      </w:r>
    </w:p>
    <w:p>
      <w:r>
        <w:rPr>
          <w:b/>
        </w:rPr>
        <w:t xml:space="preserve">RN-031  </w:t>
      </w:r>
      <w:r>
        <w:t>Uploads devem ser tratados como conteúdo não confiável e não podem ser executados como código.</w:t>
      </w:r>
    </w:p>
    <w:p>
      <w:pPr>
        <w:pStyle w:val="Caption"/>
      </w:pPr>
      <w:r>
        <w:t>Prioridade: Alta  |  Verificação: Validação de conteúdo e armazenamento isolado.</w:t>
      </w:r>
    </w:p>
    <w:p>
      <w:r>
        <w:rPr>
          <w:b/>
        </w:rPr>
        <w:t xml:space="preserve">RN-032  </w:t>
      </w:r>
      <w:r>
        <w:t>As imagens privadas devem ser servidas por acesso autenticado ou ligações temporárias com prazo de validade.</w:t>
      </w:r>
    </w:p>
    <w:p>
      <w:pPr>
        <w:pStyle w:val="Caption"/>
      </w:pPr>
      <w:r>
        <w:t>Prioridade: Alta  |  Verificação: URL permanente pública não permite acesso indiscriminado.</w:t>
      </w:r>
    </w:p>
    <w:p>
      <w:r>
        <w:rPr>
          <w:b/>
        </w:rPr>
        <w:t xml:space="preserve">RN-033  </w:t>
      </w:r>
      <w:r>
        <w:t>A remoção de uma conta deve respeitar a política de eliminação/retenção e dependências dos projetos.</w:t>
      </w:r>
    </w:p>
    <w:p>
      <w:pPr>
        <w:pStyle w:val="Caption"/>
      </w:pPr>
      <w:r>
        <w:t>Prioridade: Alta  |  Verificação: Procedimento definido e verificável.</w:t>
      </w:r>
    </w:p>
    <w:p>
      <w:pPr>
        <w:pStyle w:val="Heading1"/>
      </w:pPr>
      <w:r>
        <w:t>9. Fluxos de exceção</w:t>
      </w:r>
    </w:p>
    <w:p>
      <w:pPr>
        <w:pStyle w:val="ListBullet"/>
      </w:pPr>
      <w:r>
        <w:rPr>
          <w:b/>
        </w:rPr>
        <w:t xml:space="preserve">Fotografia inválida: </w:t>
      </w:r>
      <w:r>
        <w:t>Recusar upload, indicar motivo e permitir nova tentativa.</w:t>
      </w:r>
    </w:p>
    <w:p>
      <w:pPr>
        <w:pStyle w:val="ListBullet"/>
      </w:pPr>
      <w:r>
        <w:rPr>
          <w:b/>
        </w:rPr>
        <w:t xml:space="preserve">Roda não identificada: </w:t>
      </w:r>
      <w:r>
        <w:t>Disponibilizar correção manual ou pedir outra fotografia.</w:t>
      </w:r>
    </w:p>
    <w:p>
      <w:pPr>
        <w:pStyle w:val="ListBullet"/>
      </w:pPr>
      <w:r>
        <w:rPr>
          <w:b/>
        </w:rPr>
        <w:t xml:space="preserve">Acessório sem imagem adequada: </w:t>
      </w:r>
      <w:r>
        <w:t>Impedir seleção nessa modalidade e informar indisponibilidade.</w:t>
      </w:r>
    </w:p>
    <w:p>
      <w:pPr>
        <w:pStyle w:val="ListBullet"/>
      </w:pPr>
      <w:r>
        <w:rPr>
          <w:b/>
        </w:rPr>
        <w:t xml:space="preserve">Compatibilidade desconhecida: </w:t>
      </w:r>
      <w:r>
        <w:t>Mostrar “não verificada”; nunca assumir compatível.</w:t>
      </w:r>
    </w:p>
    <w:p>
      <w:pPr>
        <w:pStyle w:val="ListBullet"/>
      </w:pPr>
      <w:r>
        <w:rPr>
          <w:b/>
        </w:rPr>
        <w:t xml:space="preserve">Falha no motor visual: </w:t>
      </w:r>
      <w:r>
        <w:t>Marcar tarefa como falhada, preservar dados e oferecer repetição.</w:t>
      </w:r>
    </w:p>
    <w:p>
      <w:pPr>
        <w:pStyle w:val="ListBullet"/>
      </w:pPr>
      <w:r>
        <w:rPr>
          <w:b/>
        </w:rPr>
        <w:t xml:space="preserve">Sessão expirada: </w:t>
      </w:r>
      <w:r>
        <w:t>Solicitar autenticação antes de guardar ou consultar dados privados.</w:t>
      </w:r>
    </w:p>
    <w:p>
      <w:pPr>
        <w:pStyle w:val="Heading1"/>
      </w:pPr>
      <w:r>
        <w:t>10. Decisões pendentes</w:t>
      </w:r>
    </w:p>
    <w:p>
      <w:pPr>
        <w:pStyle w:val="ListBullet"/>
      </w:pPr>
      <w:r>
        <w:t>Limites máximos de upload, formatos admitidos e duração de retenção das fotografias.</w:t>
      </w:r>
    </w:p>
    <w:p>
      <w:pPr>
        <w:pStyle w:val="ListBullet"/>
      </w:pPr>
      <w:r>
        <w:t>Permitir ou não simulação temporária para visitantes sem conta.</w:t>
      </w:r>
    </w:p>
    <w:p>
      <w:pPr>
        <w:pStyle w:val="ListBullet"/>
      </w:pPr>
      <w:r>
        <w:t>Nível de precisão exigido para deteção automática de rodas.</w:t>
      </w:r>
    </w:p>
    <w:p>
      <w:pPr>
        <w:pStyle w:val="ListBullet"/>
      </w:pPr>
      <w:r>
        <w:t>Origem, licença e preparação dos modelos 3D e imagens do catálogo.</w:t>
      </w:r>
    </w:p>
    <w:p>
      <w:pPr>
        <w:pStyle w:val="ListBullet"/>
      </w:pPr>
      <w:r>
        <w:t>Dados técnicos mínimos para emitir estado “compatível”.</w:t>
      </w:r>
    </w:p>
    <w:p>
      <w:pPr>
        <w:pStyle w:val="ListBullet"/>
      </w:pPr>
      <w:r>
        <w:t>Número de versões de projeto e política de eliminação de resultados.</w:t>
      </w:r>
    </w:p>
    <w:p>
      <w:pPr>
        <w:pStyle w:val="Heading1"/>
      </w:pPr>
      <w:r>
        <w:t>11. Rastreabilidade e aprovação</w:t>
      </w:r>
    </w:p>
    <w:p>
      <w:r>
        <w:t>As regras RN-001 a RN-033 devem ser ligadas aos requisitos funcionais correspondentes e convertidas em testes de aceitação durante o desenvolvimento. A numeração e o mapeamento final com AV-DOC-002 serão confirmados após revisão conjunta dos documentos.</w:t>
      </w:r>
    </w:p>
    <w:p>
      <w:r>
        <w:t>Aprovação: responsável do produto __________________    Data __________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AutoVision  |  AV-DOC-003  |  Versão 1.0  |  Documento para revisão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8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8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8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