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880"/>
        <w:jc w:val="center"/>
      </w:pPr>
      <w:r>
        <w:rPr>
          <w:rFonts w:ascii="Arial" w:cs="Arial" w:eastAsia="Arial" w:hAnsi="Arial"/>
          <w:b/>
          <w:bCs/>
          <w:color w:val="1F4E79"/>
          <w:sz w:val="52"/>
          <w:szCs w:val="52"/>
        </w:rPr>
        <w:t xml:space="preserve">INFORME DE PRUEBAS DE RENDIMIENTO</w:t>
      </w:r>
    </w:p>
    <w:p>
      <w:pPr>
        <w:spacing w:after="200"/>
        <w:jc w:val="center"/>
      </w:pPr>
      <w:r>
        <w:rPr>
          <w:rFonts w:ascii="Arial" w:cs="Arial" w:eastAsia="Arial" w:hAnsi="Arial"/>
          <w:b/>
          <w:bCs/>
          <w:color w:val="2E75B6"/>
          <w:sz w:val="40"/>
          <w:szCs w:val="40"/>
        </w:rPr>
        <w:t xml:space="preserve">API SUPPORT NOTIFICATION</w:t>
      </w:r>
    </w:p>
    <w:p>
      <w:pPr>
        <w:spacing w:after="200"/>
        <w:jc w:val="center"/>
      </w:pPr>
      <w:r>
        <w:rPr>
          <w:rFonts w:ascii="Arial" w:cs="Arial" w:eastAsia="Arial" w:hAnsi="Arial"/>
          <w:color w:val="666666"/>
          <w:sz w:val="28"/>
          <w:szCs w:val="28"/>
        </w:rPr>
        <w:t xml:space="preserve">Squad Remesas</w:t>
      </w:r>
    </w:p>
    <w:p>
      <w:pPr>
        <w:spacing w:after="0"/>
        <w:jc w:val="center"/>
      </w:pPr>
      <w:r>
        <w:rPr>
          <w:rFonts w:ascii="Arial" w:cs="Arial" w:eastAsia="Arial" w:hAnsi="Arial"/>
          <w:color w:val="666666"/>
          <w:sz w:val="24"/>
          <w:szCs w:val="24"/>
        </w:rPr>
        <w:t xml:space="preserve">Abril 2026</w:t>
      </w:r>
    </w:p>
    <w:p>
      <w:r>
        <w:br w:type="page"/>
      </w:r>
    </w:p>
    <w:p>
      <w:pPr>
        <w:pStyle w:val="Heading1"/>
        <w:spacing w:after="200" w:before="400"/>
      </w:pPr>
      <w:r>
        <w:rPr>
          <w:rFonts w:ascii="Arial" w:cs="Arial" w:eastAsia="Arial" w:hAnsi="Arial"/>
          <w:b/>
          <w:bCs/>
          <w:color w:val="1F4E79"/>
          <w:sz w:val="28"/>
          <w:szCs w:val="28"/>
        </w:rPr>
        <w:t xml:space="preserve">I. Antecedentes</w:t>
      </w:r>
    </w:p>
    <w:p>
      <w:pPr>
        <w:spacing w:after="120"/>
      </w:pPr>
      <w:r>
        <w:rPr>
          <w:rFonts w:ascii="Arial" w:cs="Arial" w:eastAsia="Arial" w:hAnsi="Arial"/>
          <w:b w:val="false"/>
          <w:bCs w:val="false"/>
          <w:color w:val="1A1A1A"/>
          <w:sz w:val="20"/>
          <w:szCs w:val="20"/>
        </w:rPr>
        <w:t xml:space="preserve">Actualmente, el Squad de Remesas se encuentra desarrollando APIs que serán consumidas por distintos módulos de la aplicación. En este contexto, se requiere validar el comportamiento de la API Support Notification bajo diferentes niveles de carga concurrente, a fin de garantizar la entrega confiable de notificaciones push en producción.</w:t>
      </w:r>
    </w:p>
    <w:p>
      <w:pPr>
        <w:spacing w:after="180"/>
      </w:pPr>
      <w:r>
        <w:t xml:space="preserve"/>
      </w:r>
    </w:p>
    <w:p>
      <w:pPr>
        <w:pStyle w:val="Heading1"/>
        <w:spacing w:after="200" w:before="400"/>
      </w:pPr>
      <w:r>
        <w:rPr>
          <w:rFonts w:ascii="Arial" w:cs="Arial" w:eastAsia="Arial" w:hAnsi="Arial"/>
          <w:b/>
          <w:bCs/>
          <w:color w:val="1F4E79"/>
          <w:sz w:val="28"/>
          <w:szCs w:val="28"/>
        </w:rPr>
        <w:t xml:space="preserve">II. Problemática</w:t>
      </w:r>
    </w:p>
    <w:p>
      <w:pPr>
        <w:spacing w:after="120"/>
      </w:pPr>
      <w:r>
        <w:rPr>
          <w:rFonts w:ascii="Arial" w:cs="Arial" w:eastAsia="Arial" w:hAnsi="Arial"/>
          <w:b w:val="false"/>
          <w:bCs w:val="false"/>
          <w:color w:val="1A1A1A"/>
          <w:sz w:val="20"/>
          <w:szCs w:val="20"/>
        </w:rPr>
        <w:t xml:space="preserve">Se requiere identificar el rendimiento de la API Support Notification ante las diferentes configuraciones de carga definidas por el equipo de arquitectura. Dado que este servicio actúa como intermediario hacia un proveedor externo de notificaciones push (Firebase Cloud Messaging), es necesario determinar el nivel de concurrencia sostenible que garantice tiempos de respuesta aceptables sin comprometer la estabilidad del canal de notificaciones.</w:t>
      </w:r>
    </w:p>
    <w:p>
      <w:pPr>
        <w:spacing w:after="180"/>
      </w:pPr>
      <w:r>
        <w:t xml:space="preserve"/>
      </w:r>
    </w:p>
    <w:p>
      <w:pPr>
        <w:pStyle w:val="Heading1"/>
        <w:spacing w:after="200" w:before="400"/>
      </w:pPr>
      <w:r>
        <w:rPr>
          <w:rFonts w:ascii="Arial" w:cs="Arial" w:eastAsia="Arial" w:hAnsi="Arial"/>
          <w:b/>
          <w:bCs/>
          <w:color w:val="1F4E79"/>
          <w:sz w:val="28"/>
          <w:szCs w:val="28"/>
        </w:rPr>
        <w:t xml:space="preserve">III. Objetivo</w:t>
      </w:r>
    </w:p>
    <w:p>
      <w:pPr>
        <w:spacing w:after="120"/>
      </w:pPr>
      <w:r>
        <w:rPr>
          <w:rFonts w:ascii="Arial" w:cs="Arial" w:eastAsia="Arial" w:hAnsi="Arial"/>
          <w:b w:val="false"/>
          <w:bCs w:val="false"/>
          <w:color w:val="1A1A1A"/>
          <w:sz w:val="20"/>
          <w:szCs w:val="20"/>
        </w:rPr>
        <w:t xml:space="preserve">Validar el tiempo de respuesta del endpoint Send de la API Support Notification bajo las distintas configuraciones de carga definidas, identificando el nivel máximo de concurrencia sostenible considerando la dependencia del servicio con el proveedor externo de notificaciones push.</w:t>
      </w:r>
    </w:p>
    <w:p>
      <w:pPr>
        <w:spacing w:after="180"/>
      </w:pPr>
      <w:r>
        <w:t xml:space="preserve"/>
      </w:r>
    </w:p>
    <w:p>
      <w:pPr>
        <w:pStyle w:val="Heading1"/>
        <w:spacing w:after="200" w:before="400"/>
      </w:pPr>
      <w:r>
        <w:rPr>
          <w:rFonts w:ascii="Arial" w:cs="Arial" w:eastAsia="Arial" w:hAnsi="Arial"/>
          <w:b/>
          <w:bCs/>
          <w:color w:val="1F4E79"/>
          <w:sz w:val="28"/>
          <w:szCs w:val="28"/>
        </w:rPr>
        <w:t xml:space="preserve">IV. Alcance</w:t>
      </w:r>
    </w:p>
    <w:p>
      <w:pPr>
        <w:spacing w:after="120"/>
      </w:pPr>
      <w:r>
        <w:rPr>
          <w:rFonts w:ascii="Arial" w:cs="Arial" w:eastAsia="Arial" w:hAnsi="Arial"/>
          <w:b w:val="false"/>
          <w:bCs w:val="false"/>
          <w:color w:val="1A1A1A"/>
          <w:sz w:val="20"/>
          <w:szCs w:val="20"/>
        </w:rPr>
        <w:t xml:space="preserve">Las pruebas de rendimiento se realizaron sobre el siguiente endpoint de la API Support Notification:</w:t>
      </w:r>
    </w:p>
    <w:p>
      <w:pPr>
        <w:spacing w:after="180"/>
      </w:pPr>
      <w:r>
        <w:t xml:space="preserve"/>
      </w:r>
    </w:p>
    <w:p>
      <w:pPr>
        <w:pStyle w:val="ListParagraph"/>
        <w:numPr>
          <w:ilvl w:val="0"/>
          <w:numId w:val="2"/>
        </w:numPr>
        <w:spacing w:after="80"/>
      </w:pPr>
      <w:r>
        <w:rPr>
          <w:rFonts w:ascii="Arial" w:cs="Arial" w:eastAsia="Arial" w:hAnsi="Arial"/>
          <w:sz w:val="20"/>
          <w:szCs w:val="20"/>
        </w:rPr>
        <w:t xml:space="preserve">Send: POST http://cerbbw.bancred.com.bo:4027/sp-ntf-v1/support/notification/v1/send</w:t>
      </w:r>
    </w:p>
    <w:p>
      <w:pPr>
        <w:spacing w:after="180"/>
      </w:pPr>
      <w:r>
        <w:t xml:space="preserve"/>
      </w:r>
    </w:p>
    <w:p>
      <w:pPr>
        <w:spacing w:after="120"/>
      </w:pPr>
      <w:r>
        <w:rPr>
          <w:rFonts w:ascii="Arial" w:cs="Arial" w:eastAsia="Arial" w:hAnsi="Arial"/>
          <w:b/>
          <w:bCs/>
          <w:color w:val="1A1A1A"/>
          <w:sz w:val="20"/>
          <w:szCs w:val="20"/>
        </w:rPr>
        <w:t xml:space="preserve">Características del endpoint:</w:t>
      </w:r>
    </w:p>
    <w:p>
      <w:pPr>
        <w:pStyle w:val="ListParagraph"/>
        <w:numPr>
          <w:ilvl w:val="0"/>
          <w:numId w:val="2"/>
        </w:numPr>
        <w:spacing w:after="80"/>
      </w:pPr>
      <w:r>
        <w:rPr>
          <w:rFonts w:ascii="Arial" w:cs="Arial" w:eastAsia="Arial" w:hAnsi="Arial"/>
          <w:sz w:val="20"/>
          <w:szCs w:val="20"/>
        </w:rPr>
        <w:t xml:space="preserve">Tipo de notificación: Push (Firebase Cloud Messaging)</w:t>
      </w:r>
    </w:p>
    <w:p>
      <w:pPr>
        <w:pStyle w:val="ListParagraph"/>
        <w:numPr>
          <w:ilvl w:val="0"/>
          <w:numId w:val="2"/>
        </w:numPr>
        <w:spacing w:after="80"/>
      </w:pPr>
      <w:r>
        <w:rPr>
          <w:rFonts w:ascii="Arial" w:cs="Arial" w:eastAsia="Arial" w:hAnsi="Arial"/>
          <w:sz w:val="20"/>
          <w:szCs w:val="20"/>
        </w:rPr>
        <w:t xml:space="preserve">Template utilizado: TransactionNotification</w:t>
      </w:r>
    </w:p>
    <w:p>
      <w:pPr>
        <w:pStyle w:val="ListParagraph"/>
        <w:numPr>
          <w:ilvl w:val="0"/>
          <w:numId w:val="2"/>
        </w:numPr>
        <w:spacing w:after="80"/>
      </w:pPr>
      <w:r>
        <w:rPr>
          <w:rFonts w:ascii="Arial" w:cs="Arial" w:eastAsia="Arial" w:hAnsi="Arial"/>
          <w:sz w:val="20"/>
          <w:szCs w:val="20"/>
        </w:rPr>
        <w:t xml:space="preserve">El servicio actúa como intermediario: recibe la solicitud, procesa la plantilla y delega el envío al proveedor externo FCM antes de responder. Esto condiciona los tiempos de respuesta base del endpoint.</w:t>
      </w:r>
    </w:p>
    <w:p>
      <w:pPr>
        <w:spacing w:after="180"/>
      </w:pPr>
      <w:r>
        <w:t xml:space="preserve"/>
      </w:r>
    </w:p>
    <w:p>
      <w:pPr>
        <w:spacing w:after="120"/>
      </w:pPr>
      <w:r>
        <w:rPr>
          <w:rFonts w:ascii="Arial" w:cs="Arial" w:eastAsia="Arial" w:hAnsi="Arial"/>
          <w:b/>
          <w:bCs/>
          <w:color w:val="1A1A1A"/>
          <w:sz w:val="20"/>
          <w:szCs w:val="20"/>
        </w:rPr>
        <w:t xml:space="preserve">Nota sobre cobertura:</w:t>
      </w:r>
    </w:p>
    <w:p>
      <w:pPr>
        <w:pStyle w:val="ListParagraph"/>
        <w:numPr>
          <w:ilvl w:val="0"/>
          <w:numId w:val="2"/>
        </w:numPr>
        <w:spacing w:after="80"/>
      </w:pPr>
      <w:r>
        <w:rPr>
          <w:rFonts w:ascii="Arial" w:cs="Arial" w:eastAsia="Arial" w:hAnsi="Arial"/>
          <w:sz w:val="20"/>
          <w:szCs w:val="20"/>
        </w:rPr>
        <w:t xml:space="preserve">Las pruebas se ejecutaron de P1 a P7. Los niveles P8, P9 y P10 no se ejecutaron dado que en P6 y P7 ya se evidenció saturación de la infraestructura de red del cliente de pruebas. Las pruebas de concurrencia (X1, X10, X30) no fueron ejecutadas para este endpoint.</w:t>
      </w:r>
    </w:p>
    <w:p>
      <w:pPr>
        <w:spacing w:after="180"/>
      </w:pPr>
      <w:r>
        <w:t xml:space="preserve"/>
      </w:r>
    </w:p>
    <w:p>
      <w:pPr>
        <w:pStyle w:val="Heading1"/>
        <w:spacing w:after="200" w:before="400"/>
      </w:pPr>
      <w:r>
        <w:rPr>
          <w:rFonts w:ascii="Arial" w:cs="Arial" w:eastAsia="Arial" w:hAnsi="Arial"/>
          <w:b/>
          <w:bCs/>
          <w:color w:val="1F4E79"/>
          <w:sz w:val="28"/>
          <w:szCs w:val="28"/>
        </w:rPr>
        <w:t xml:space="preserve">V. Planificación de la Prueba</w:t>
      </w:r>
    </w:p>
    <w:p>
      <w:pPr>
        <w:spacing w:after="120"/>
      </w:pPr>
      <w:r>
        <w:rPr>
          <w:rFonts w:ascii="Arial" w:cs="Arial" w:eastAsia="Arial" w:hAnsi="Arial"/>
          <w:b w:val="false"/>
          <w:bCs w:val="false"/>
          <w:color w:val="1A1A1A"/>
          <w:sz w:val="20"/>
          <w:szCs w:val="20"/>
        </w:rPr>
        <w:t xml:space="preserve">Para estas pruebas se utilizó el siguiente modelo de carga en Apache JMeter 5.6.3:</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720"/>
        <w:gridCol w:w="720"/>
        <w:gridCol w:w="720"/>
        <w:gridCol w:w="720"/>
        <w:gridCol w:w="720"/>
        <w:gridCol w:w="720"/>
        <w:gridCol w:w="720"/>
        <w:gridCol w:w="720"/>
        <w:gridCol w:w="720"/>
      </w:tblGrid>
      <w:tr>
        <w:tc>
          <w:tcPr>
            <w:tcW w:type="dxa" w:w="216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P2</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P3</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P4</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P5</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P6</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P7</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P8</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P9</w:t>
            </w:r>
          </w:p>
        </w:tc>
        <w:tc>
          <w:tcPr>
            <w:tcW w:type="dxa" w:w="720"/>
            <w:tcBorders>
              <w:top w:val="single" w:color="9DC3E6" w:sz="4"/>
              <w:left w:val="single" w:color="9DC3E6" w:sz="4"/>
              <w:bottom w:val="single" w:color="9DC3E6" w:sz="4"/>
              <w:right w:val="single" w:color="9DC3E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P10</w:t>
            </w:r>
          </w:p>
        </w:tc>
      </w:tr>
      <w:tr>
        <w:tc>
          <w:tcPr>
            <w:tcW w:type="dxa" w:w="216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left"/>
            </w:pPr>
            <w:r>
              <w:rPr>
                <w:rFonts w:ascii="Arial" w:cs="Arial" w:eastAsia="Arial" w:hAnsi="Arial"/>
                <w:b/>
                <w:bCs/>
                <w:color w:val="1A1A1A"/>
                <w:sz w:val="18"/>
                <w:szCs w:val="18"/>
              </w:rPr>
              <w:t xml:space="preserve">Número de Hilos</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4</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60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120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160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280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400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800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1200</w:t>
            </w:r>
          </w:p>
        </w:tc>
      </w:tr>
      <w:tr>
        <w:tc>
          <w:tcPr>
            <w:tcW w:type="dxa" w:w="216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left"/>
            </w:pPr>
            <w:r>
              <w:rPr>
                <w:rFonts w:ascii="Arial" w:cs="Arial" w:eastAsia="Arial" w:hAnsi="Arial"/>
                <w:b/>
                <w:bCs/>
                <w:color w:val="1A1A1A"/>
                <w:sz w:val="18"/>
                <w:szCs w:val="18"/>
              </w:rPr>
              <w:t xml:space="preserve">Periodo de Subida (seg)</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5</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5</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5</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10</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10</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15</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25</w:t>
            </w:r>
          </w:p>
        </w:tc>
        <w:tc>
          <w:tcPr>
            <w:tcW w:type="dxa" w:w="72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25</w:t>
            </w:r>
          </w:p>
        </w:tc>
      </w:tr>
      <w:tr>
        <w:tc>
          <w:tcPr>
            <w:tcW w:type="dxa" w:w="216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left"/>
            </w:pPr>
            <w:r>
              <w:rPr>
                <w:rFonts w:ascii="Arial" w:cs="Arial" w:eastAsia="Arial" w:hAnsi="Arial"/>
                <w:b/>
                <w:bCs/>
                <w:color w:val="1A1A1A"/>
                <w:sz w:val="18"/>
                <w:szCs w:val="18"/>
              </w:rPr>
              <w:t xml:space="preserve">Duración (segundos)</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c>
          <w:tcPr>
            <w:tcW w:type="dxa" w:w="72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300</w:t>
            </w:r>
          </w:p>
        </w:tc>
      </w:tr>
    </w:tbl>
    <w:p>
      <w:pPr>
        <w:spacing w:after="180"/>
      </w:pPr>
      <w:r>
        <w:t xml:space="preserve"/>
      </w:r>
    </w:p>
    <w:p>
      <w:pPr>
        <w:pStyle w:val="Heading1"/>
        <w:spacing w:after="200" w:before="400"/>
      </w:pPr>
      <w:r>
        <w:rPr>
          <w:rFonts w:ascii="Arial" w:cs="Arial" w:eastAsia="Arial" w:hAnsi="Arial"/>
          <w:b/>
          <w:bCs/>
          <w:color w:val="1F4E79"/>
          <w:sz w:val="28"/>
          <w:szCs w:val="28"/>
        </w:rPr>
        <w:t xml:space="preserve">VI. Resultado de las Pruebas</w:t>
      </w:r>
    </w:p>
    <w:p>
      <w:pPr>
        <w:pStyle w:val="Heading2"/>
        <w:spacing w:after="140" w:before="280"/>
      </w:pPr>
      <w:r>
        <w:rPr>
          <w:rFonts w:ascii="Arial" w:cs="Arial" w:eastAsia="Arial" w:hAnsi="Arial"/>
          <w:b/>
          <w:bCs/>
          <w:color w:val="2E75B6"/>
          <w:sz w:val="24"/>
          <w:szCs w:val="24"/>
        </w:rPr>
        <w:t xml:space="preserve">VI.1 Endpoint: Send</w:t>
      </w:r>
    </w:p>
    <w:p>
      <w:pPr>
        <w:spacing w:after="120"/>
      </w:pPr>
      <w:r>
        <w:rPr>
          <w:rFonts w:ascii="Arial" w:cs="Arial" w:eastAsia="Arial" w:hAnsi="Arial"/>
          <w:b/>
          <w:bCs/>
          <w:color w:val="1A1A1A"/>
          <w:sz w:val="20"/>
          <w:szCs w:val="20"/>
        </w:rPr>
        <w:t xml:space="preserve">POST http://cerbbw.bancred.com.bo:4027/sp-ntf-v1/support/notification/v1/send</w:t>
      </w:r>
    </w:p>
    <w:p>
      <w:pPr>
        <w:spacing w:after="180"/>
      </w:pPr>
      <w:r>
        <w:t xml:space="preserve"/>
      </w:r>
    </w:p>
    <w:p>
      <w:pPr>
        <w:spacing w:after="120"/>
      </w:pPr>
      <w:r>
        <w:rPr>
          <w:rFonts w:ascii="Arial" w:cs="Arial" w:eastAsia="Arial" w:hAnsi="Arial"/>
          <w:b w:val="false"/>
          <w:bCs w:val="false"/>
          <w:color w:val="1A1A1A"/>
          <w:sz w:val="20"/>
          <w:szCs w:val="20"/>
        </w:rPr>
        <w:t xml:space="preserve">El endpoint Send presentó un comportamiento estable y consistente entre P1 y P5, con tiempos de respuesta promedio entre 2.015 y 2.088 segundos y cero errores en todos esos niveles. Este tiempo base de aproximadamente 2 segundos es inherente a la naturaleza del servicio, que debe comunicarse con el proveedor externo Firebase Cloud Messaging (FCM) antes de devolver la respuesta al cliente.</w:t>
      </w:r>
    </w:p>
    <w:p>
      <w:pPr>
        <w:spacing w:after="180"/>
      </w:pPr>
      <w:r>
        <w:t xml:space="preserve"/>
      </w:r>
    </w:p>
    <w:p>
      <w:pPr>
        <w:spacing w:after="120"/>
      </w:pPr>
      <w:r>
        <w:rPr>
          <w:rFonts w:ascii="Arial" w:cs="Arial" w:eastAsia="Arial" w:hAnsi="Arial"/>
          <w:b w:val="false"/>
          <w:bCs w:val="false"/>
          <w:color w:val="1A1A1A"/>
          <w:sz w:val="20"/>
          <w:szCs w:val="20"/>
        </w:rPr>
        <w:t xml:space="preserve">A partir de P6 (160 hilos) se observó degradación en el tiempo promedio (3.897 segundos) con 50 errores de tipo SocketException (0.40%), y en P7 (280 hilos) el tiempo promedio escala a 20.110 segundos con 217 errores (2.03%). Ambos comportamientos fueron validados mediante Dynatrace, que confirma que el servidor no registró rechazos funcionales en ninguno de los niveles — los errores y la degradación en tiempos son atribuibles al agotamiento de puertos de red del equipo cliente de pruebas bajo alta concurrencia sostenida.</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600"/>
        <w:gridCol w:w="2680"/>
        <w:gridCol w:w="2680"/>
      </w:tblGrid>
      <w:tr>
        <w:tc>
          <w:tcPr>
            <w:tcW w:type="dxa" w:w="70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Prueba</w:t>
            </w:r>
          </w:p>
        </w:tc>
        <w:tc>
          <w:tcPr>
            <w:tcW w:type="dxa" w:w="170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Samples</w:t>
            </w:r>
          </w:p>
        </w:tc>
        <w:tc>
          <w:tcPr>
            <w:tcW w:type="dxa" w:w="160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Error</w:t>
            </w:r>
          </w:p>
        </w:tc>
        <w:tc>
          <w:tcPr>
            <w:tcW w:type="dxa" w:w="268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Tiempo Resp. Promedio (seg)</w:t>
            </w:r>
          </w:p>
        </w:tc>
        <w:tc>
          <w:tcPr>
            <w:tcW w:type="dxa" w:w="268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Throughput (req/s)</w:t>
            </w:r>
          </w:p>
        </w:tc>
      </w:tr>
      <w:tr>
        <w:tc>
          <w:tcPr>
            <w:tcW w:type="dxa" w:w="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w:t>
            </w:r>
          </w:p>
        </w:tc>
        <w:tc>
          <w:tcPr>
            <w:tcW w:type="dxa" w:w="1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586</w:t>
            </w:r>
          </w:p>
        </w:tc>
        <w:tc>
          <w:tcPr>
            <w:tcW w:type="dxa" w:w="16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0.00%</w:t>
            </w:r>
          </w:p>
        </w:tc>
        <w:tc>
          <w:tcPr>
            <w:tcW w:type="dxa" w:w="26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2.037</w:t>
            </w:r>
          </w:p>
        </w:tc>
        <w:tc>
          <w:tcPr>
            <w:tcW w:type="dxa" w:w="26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1.96</w:t>
            </w:r>
          </w:p>
        </w:tc>
      </w:tr>
      <w:tr>
        <w:tc>
          <w:tcPr>
            <w:tcW w:type="dxa" w:w="7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P2</w:t>
            </w:r>
          </w:p>
        </w:tc>
        <w:tc>
          <w:tcPr>
            <w:tcW w:type="dxa" w:w="17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1,481</w:t>
            </w:r>
          </w:p>
        </w:tc>
        <w:tc>
          <w:tcPr>
            <w:tcW w:type="dxa" w:w="16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0.00%</w:t>
            </w:r>
          </w:p>
        </w:tc>
        <w:tc>
          <w:tcPr>
            <w:tcW w:type="dxa" w:w="268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2.015</w:t>
            </w:r>
          </w:p>
        </w:tc>
        <w:tc>
          <w:tcPr>
            <w:tcW w:type="dxa" w:w="268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4.94</w:t>
            </w:r>
          </w:p>
        </w:tc>
      </w:tr>
      <w:tr>
        <w:tc>
          <w:tcPr>
            <w:tcW w:type="dxa" w:w="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P3</w:t>
            </w:r>
          </w:p>
        </w:tc>
        <w:tc>
          <w:tcPr>
            <w:tcW w:type="dxa" w:w="1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2,859</w:t>
            </w:r>
          </w:p>
        </w:tc>
        <w:tc>
          <w:tcPr>
            <w:tcW w:type="dxa" w:w="16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0.00%</w:t>
            </w:r>
          </w:p>
        </w:tc>
        <w:tc>
          <w:tcPr>
            <w:tcW w:type="dxa" w:w="26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2.088</w:t>
            </w:r>
          </w:p>
        </w:tc>
        <w:tc>
          <w:tcPr>
            <w:tcW w:type="dxa" w:w="26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9.54</w:t>
            </w:r>
          </w:p>
        </w:tc>
      </w:tr>
      <w:tr>
        <w:tc>
          <w:tcPr>
            <w:tcW w:type="dxa" w:w="7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P4</w:t>
            </w:r>
          </w:p>
        </w:tc>
        <w:tc>
          <w:tcPr>
            <w:tcW w:type="dxa" w:w="17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8,742</w:t>
            </w:r>
          </w:p>
        </w:tc>
        <w:tc>
          <w:tcPr>
            <w:tcW w:type="dxa" w:w="16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0.00%</w:t>
            </w:r>
          </w:p>
        </w:tc>
        <w:tc>
          <w:tcPr>
            <w:tcW w:type="dxa" w:w="268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2.031</w:t>
            </w:r>
          </w:p>
        </w:tc>
        <w:tc>
          <w:tcPr>
            <w:tcW w:type="dxa" w:w="268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29.15</w:t>
            </w:r>
          </w:p>
        </w:tc>
      </w:tr>
      <w:tr>
        <w:tc>
          <w:tcPr>
            <w:tcW w:type="dxa" w:w="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P5</w:t>
            </w:r>
          </w:p>
        </w:tc>
        <w:tc>
          <w:tcPr>
            <w:tcW w:type="dxa" w:w="1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17,576</w:t>
            </w:r>
          </w:p>
        </w:tc>
        <w:tc>
          <w:tcPr>
            <w:tcW w:type="dxa" w:w="16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0.00%</w:t>
            </w:r>
          </w:p>
        </w:tc>
        <w:tc>
          <w:tcPr>
            <w:tcW w:type="dxa" w:w="26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2.022</w:t>
            </w:r>
          </w:p>
        </w:tc>
        <w:tc>
          <w:tcPr>
            <w:tcW w:type="dxa" w:w="26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58.59</w:t>
            </w:r>
          </w:p>
        </w:tc>
      </w:tr>
      <w:tr>
        <w:tc>
          <w:tcPr>
            <w:tcW w:type="dxa" w:w="7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P6</w:t>
            </w:r>
          </w:p>
        </w:tc>
        <w:tc>
          <w:tcPr>
            <w:tcW w:type="dxa" w:w="17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12,365</w:t>
            </w:r>
          </w:p>
        </w:tc>
        <w:tc>
          <w:tcPr>
            <w:tcW w:type="dxa" w:w="1600"/>
            <w:tcBorders>
              <w:top w:val="single" w:color="9DC3E6" w:sz="4"/>
              <w:left w:val="single" w:color="9DC3E6" w:sz="4"/>
              <w:bottom w:val="single" w:color="9DC3E6" w:sz="4"/>
              <w:right w:val="single" w:color="9DC3E6" w:sz="4"/>
            </w:tcBorders>
            <w:shd w:fill="FFF2CC"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0.40%</w:t>
            </w:r>
          </w:p>
        </w:tc>
        <w:tc>
          <w:tcPr>
            <w:tcW w:type="dxa" w:w="268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3.897</w:t>
            </w:r>
          </w:p>
        </w:tc>
        <w:tc>
          <w:tcPr>
            <w:tcW w:type="dxa" w:w="268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41.22</w:t>
            </w:r>
          </w:p>
        </w:tc>
      </w:tr>
      <w:tr>
        <w:tc>
          <w:tcPr>
            <w:tcW w:type="dxa" w:w="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P7</w:t>
            </w:r>
          </w:p>
        </w:tc>
        <w:tc>
          <w:tcPr>
            <w:tcW w:type="dxa" w:w="1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10,707</w:t>
            </w:r>
          </w:p>
        </w:tc>
        <w:tc>
          <w:tcPr>
            <w:tcW w:type="dxa" w:w="1600"/>
            <w:tcBorders>
              <w:top w:val="single" w:color="9DC3E6" w:sz="4"/>
              <w:left w:val="single" w:color="9DC3E6" w:sz="4"/>
              <w:bottom w:val="single" w:color="9DC3E6" w:sz="4"/>
              <w:right w:val="single" w:color="9DC3E6" w:sz="4"/>
            </w:tcBorders>
            <w:shd w:fill="FCE4D6"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2.03%</w:t>
            </w:r>
          </w:p>
        </w:tc>
        <w:tc>
          <w:tcPr>
            <w:tcW w:type="dxa" w:w="26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20.110</w:t>
            </w:r>
          </w:p>
        </w:tc>
        <w:tc>
          <w:tcPr>
            <w:tcW w:type="dxa" w:w="26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35.71</w:t>
            </w:r>
          </w:p>
        </w:tc>
      </w:tr>
      <w:tr>
        <w:tc>
          <w:tcPr>
            <w:tcW w:type="dxa" w:w="7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P8</w:t>
            </w:r>
          </w:p>
        </w:tc>
        <w:tc>
          <w:tcPr>
            <w:tcW w:type="dxa" w:w="170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No ejecutada</w:t>
            </w:r>
          </w:p>
        </w:tc>
        <w:tc>
          <w:tcPr>
            <w:tcW w:type="dxa" w:w="160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c>
          <w:tcPr>
            <w:tcW w:type="dxa" w:w="268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c>
          <w:tcPr>
            <w:tcW w:type="dxa" w:w="268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r>
      <w:tr>
        <w:tc>
          <w:tcPr>
            <w:tcW w:type="dxa" w:w="70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P9</w:t>
            </w:r>
          </w:p>
        </w:tc>
        <w:tc>
          <w:tcPr>
            <w:tcW w:type="dxa" w:w="170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No ejecutada</w:t>
            </w:r>
          </w:p>
        </w:tc>
        <w:tc>
          <w:tcPr>
            <w:tcW w:type="dxa" w:w="160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c>
          <w:tcPr>
            <w:tcW w:type="dxa" w:w="268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c>
          <w:tcPr>
            <w:tcW w:type="dxa" w:w="268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r>
      <w:tr>
        <w:tc>
          <w:tcPr>
            <w:tcW w:type="dxa" w:w="70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P10</w:t>
            </w:r>
          </w:p>
        </w:tc>
        <w:tc>
          <w:tcPr>
            <w:tcW w:type="dxa" w:w="170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No ejecutada</w:t>
            </w:r>
          </w:p>
        </w:tc>
        <w:tc>
          <w:tcPr>
            <w:tcW w:type="dxa" w:w="160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c>
          <w:tcPr>
            <w:tcW w:type="dxa" w:w="268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c>
          <w:tcPr>
            <w:tcW w:type="dxa" w:w="2680"/>
            <w:tcBorders>
              <w:top w:val="single" w:color="9DC3E6" w:sz="4"/>
              <w:left w:val="single" w:color="9DC3E6" w:sz="4"/>
              <w:bottom w:val="single" w:color="9DC3E6" w:sz="4"/>
              <w:right w:val="single" w:color="9DC3E6" w:sz="4"/>
            </w:tcBorders>
            <w:shd w:fill="EEEEEE" w:val="clear"/>
            <w:tcMar>
              <w:top w:type="dxa" w:w="80"/>
              <w:left w:type="dxa" w:w="120"/>
              <w:bottom w:type="dxa" w:w="80"/>
              <w:right w:type="dxa" w:w="120"/>
            </w:tcMar>
          </w:tcPr>
          <w:p>
            <w:pPr>
              <w:jc w:val="center"/>
            </w:pPr>
            <w:r>
              <w:rPr>
                <w:rFonts w:ascii="Arial" w:cs="Arial" w:eastAsia="Arial" w:hAnsi="Arial"/>
                <w:b w:val="false"/>
                <w:bCs w:val="false"/>
                <w:color w:val="666666"/>
                <w:sz w:val="18"/>
                <w:szCs w:val="18"/>
              </w:rPr>
              <w:t xml:space="preserve">—</w:t>
            </w:r>
          </w:p>
        </w:tc>
      </w:tr>
    </w:tbl>
    <w:p>
      <w:pPr>
        <w:spacing w:after="180"/>
      </w:pPr>
      <w:r>
        <w:t xml:space="preserve"/>
      </w:r>
    </w:p>
    <w:p>
      <w:pPr>
        <w:spacing w:after="120"/>
      </w:pPr>
      <w:r>
        <w:rPr>
          <w:rFonts w:ascii="Arial" w:cs="Arial" w:eastAsia="Arial" w:hAnsi="Arial"/>
          <w:b w:val="false"/>
          <w:bCs w:val="false"/>
          <w:color w:val="666666"/>
          <w:sz w:val="20"/>
          <w:szCs w:val="20"/>
        </w:rPr>
        <w:t xml:space="preserve">Nota: Los niveles P8, P9 y P10 no fueron ejecutados. La saturación del cliente de pruebas observada en P6 y P7, combinada con los tiempos base del endpoint (~2 segundos por dependencia con FCM), hace que niveles superiores de hilos no aporten información confiable adicional sobre la capacidad del servidor.</w:t>
      </w:r>
    </w:p>
    <w:p>
      <w:pPr>
        <w:spacing w:after="180"/>
      </w:pPr>
      <w:r>
        <w:t xml:space="preserve"/>
      </w:r>
    </w:p>
    <w:p>
      <w:pPr>
        <w:pStyle w:val="Heading2"/>
        <w:spacing w:after="140" w:before="280"/>
      </w:pPr>
      <w:r>
        <w:rPr>
          <w:rFonts w:ascii="Arial" w:cs="Arial" w:eastAsia="Arial" w:hAnsi="Arial"/>
          <w:b/>
          <w:bCs/>
          <w:color w:val="2E75B6"/>
          <w:sz w:val="24"/>
          <w:szCs w:val="24"/>
        </w:rPr>
        <w:t xml:space="preserve">VI.2 Análisis de Errores por Nivel</w:t>
      </w:r>
    </w:p>
    <w:p>
      <w:pPr>
        <w:spacing w:after="180"/>
      </w:pPr>
      <w:r>
        <w:t xml:space="preserve"/>
      </w:r>
    </w:p>
    <w:p>
      <w:pPr>
        <w:spacing w:after="120"/>
      </w:pPr>
      <w:r>
        <w:rPr>
          <w:rFonts w:ascii="Arial" w:cs="Arial" w:eastAsia="Arial" w:hAnsi="Arial"/>
          <w:b w:val="false"/>
          <w:bCs w:val="false"/>
          <w:color w:val="1A1A1A"/>
          <w:sz w:val="20"/>
          <w:szCs w:val="20"/>
        </w:rPr>
        <w:t xml:space="preserve">La siguiente tabla detalla el origen de los errores registrados en P6 y P7:</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340"/>
        <w:gridCol w:w="3900"/>
      </w:tblGrid>
      <w:tr>
        <w:tc>
          <w:tcPr>
            <w:tcW w:type="dxa" w:w="78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Prueba</w:t>
            </w:r>
          </w:p>
        </w:tc>
        <w:tc>
          <w:tcPr>
            <w:tcW w:type="dxa" w:w="234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 de error</w:t>
            </w:r>
          </w:p>
        </w:tc>
        <w:tc>
          <w:tcPr>
            <w:tcW w:type="dxa" w:w="234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Cantidad</w:t>
            </w:r>
          </w:p>
        </w:tc>
        <w:tc>
          <w:tcPr>
            <w:tcW w:type="dxa" w:w="3900"/>
            <w:tcBorders>
              <w:top w:val="single" w:color="9DC3E6" w:sz="4"/>
              <w:left w:val="single" w:color="9DC3E6" w:sz="4"/>
              <w:bottom w:val="single" w:color="9DC3E6" w:sz="4"/>
              <w:right w:val="single" w:color="9DC3E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r>
      <w:tr>
        <w:tc>
          <w:tcPr>
            <w:tcW w:type="dxa" w:w="78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P6</w:t>
            </w:r>
          </w:p>
        </w:tc>
        <w:tc>
          <w:tcPr>
            <w:tcW w:type="dxa" w:w="234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SocketException</w:t>
            </w:r>
          </w:p>
        </w:tc>
        <w:tc>
          <w:tcPr>
            <w:tcW w:type="dxa" w:w="234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50</w:t>
            </w:r>
          </w:p>
        </w:tc>
        <w:tc>
          <w:tcPr>
            <w:tcW w:type="dxa" w:w="3900"/>
            <w:tcBorders>
              <w:top w:val="single" w:color="9DC3E6" w:sz="4"/>
              <w:left w:val="single" w:color="9DC3E6" w:sz="4"/>
              <w:bottom w:val="single" w:color="9DC3E6" w:sz="4"/>
              <w:right w:val="single" w:color="9DC3E6" w:sz="4"/>
            </w:tcBorders>
            <w:shd w:fill="FFF2CC"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Cliente JMeter — agotamiento de puertos TCP</w:t>
            </w:r>
          </w:p>
        </w:tc>
      </w:tr>
      <w:tr>
        <w:tc>
          <w:tcPr>
            <w:tcW w:type="dxa" w:w="78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P7</w:t>
            </w:r>
          </w:p>
        </w:tc>
        <w:tc>
          <w:tcPr>
            <w:tcW w:type="dxa" w:w="234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SocketException</w:t>
            </w:r>
          </w:p>
        </w:tc>
        <w:tc>
          <w:tcPr>
            <w:tcW w:type="dxa" w:w="2340"/>
            <w:tcBorders>
              <w:top w:val="single" w:color="9DC3E6" w:sz="4"/>
              <w:left w:val="single" w:color="9DC3E6" w:sz="4"/>
              <w:bottom w:val="single" w:color="9DC3E6" w:sz="4"/>
              <w:right w:val="single" w:color="9DC3E6" w:sz="4"/>
            </w:tcBorders>
            <w:shd w:fill="DEEAF1"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203</w:t>
            </w:r>
          </w:p>
        </w:tc>
        <w:tc>
          <w:tcPr>
            <w:tcW w:type="dxa" w:w="3900"/>
            <w:tcBorders>
              <w:top w:val="single" w:color="9DC3E6" w:sz="4"/>
              <w:left w:val="single" w:color="9DC3E6" w:sz="4"/>
              <w:bottom w:val="single" w:color="9DC3E6" w:sz="4"/>
              <w:right w:val="single" w:color="9DC3E6" w:sz="4"/>
            </w:tcBorders>
            <w:shd w:fill="FFF2CC"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Cliente JMeter — agotamiento de puertos TCP</w:t>
            </w:r>
          </w:p>
        </w:tc>
      </w:tr>
      <w:tr>
        <w:tc>
          <w:tcPr>
            <w:tcW w:type="dxa" w:w="78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P7</w:t>
            </w:r>
          </w:p>
        </w:tc>
        <w:tc>
          <w:tcPr>
            <w:tcW w:type="dxa" w:w="234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HttpHostConnectException</w:t>
            </w:r>
          </w:p>
        </w:tc>
        <w:tc>
          <w:tcPr>
            <w:tcW w:type="dxa" w:w="2340"/>
            <w:tcBorders>
              <w:top w:val="single" w:color="9DC3E6" w:sz="4"/>
              <w:left w:val="single" w:color="9DC3E6" w:sz="4"/>
              <w:bottom w:val="single" w:color="9DC3E6" w:sz="4"/>
              <w:right w:val="single" w:color="9DC3E6"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14</w:t>
            </w:r>
          </w:p>
        </w:tc>
        <w:tc>
          <w:tcPr>
            <w:tcW w:type="dxa" w:w="3900"/>
            <w:tcBorders>
              <w:top w:val="single" w:color="9DC3E6" w:sz="4"/>
              <w:left w:val="single" w:color="9DC3E6" w:sz="4"/>
              <w:bottom w:val="single" w:color="9DC3E6" w:sz="4"/>
              <w:right w:val="single" w:color="9DC3E6" w:sz="4"/>
            </w:tcBorders>
            <w:shd w:fill="FFF2CC"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Cliente JMeter — conexión rechazada por límite local</w:t>
            </w:r>
          </w:p>
        </w:tc>
      </w:tr>
    </w:tbl>
    <w:p>
      <w:pPr>
        <w:spacing w:after="180"/>
      </w:pPr>
      <w:r>
        <w:t xml:space="preserve"/>
      </w:r>
    </w:p>
    <w:p>
      <w:pPr>
        <w:spacing w:after="120"/>
      </w:pPr>
      <w:r>
        <w:rPr>
          <w:rFonts w:ascii="Arial" w:cs="Arial" w:eastAsia="Arial" w:hAnsi="Arial"/>
          <w:b w:val="false"/>
          <w:bCs w:val="false"/>
          <w:color w:val="666666"/>
          <w:sz w:val="20"/>
          <w:szCs w:val="20"/>
        </w:rPr>
        <w:t xml:space="preserve">Validación mediante Dynatrace: El servidor no registró errores funcionales en ninguno de los niveles P1-P7. El P99 de P7 (1,163 segundos) corresponde a conexiones del cliente que permanecieron en cola de espera local antes de ser descartadas, y no representa el tiempo de respuesta del servidor.</w:t>
      </w:r>
    </w:p>
    <w:p>
      <w:pPr>
        <w:spacing w:after="180"/>
      </w:pPr>
      <w:r>
        <w:t xml:space="preserve"/>
      </w:r>
    </w:p>
    <w:p>
      <w:r>
        <w:br w:type="page"/>
      </w:r>
    </w:p>
    <w:p>
      <w:pPr>
        <w:pStyle w:val="Heading1"/>
        <w:spacing w:after="200" w:before="400"/>
      </w:pPr>
      <w:r>
        <w:rPr>
          <w:rFonts w:ascii="Arial" w:cs="Arial" w:eastAsia="Arial" w:hAnsi="Arial"/>
          <w:b/>
          <w:bCs/>
          <w:color w:val="1F4E79"/>
          <w:sz w:val="28"/>
          <w:szCs w:val="28"/>
        </w:rPr>
        <w:t xml:space="preserve">VII. Conclusiones</w:t>
      </w:r>
    </w:p>
    <w:p>
      <w:pPr>
        <w:spacing w:after="120"/>
      </w:pPr>
      <w:r>
        <w:rPr>
          <w:rFonts w:ascii="Arial" w:cs="Arial" w:eastAsia="Arial" w:hAnsi="Arial"/>
          <w:b w:val="false"/>
          <w:bCs w:val="false"/>
          <w:color w:val="1A1A1A"/>
          <w:sz w:val="20"/>
          <w:szCs w:val="20"/>
        </w:rPr>
        <w:t xml:space="preserve">De las pruebas y análisis realizados sobre la API Support Notification se concluye lo siguiente:</w:t>
      </w:r>
    </w:p>
    <w:p>
      <w:pPr>
        <w:spacing w:after="180"/>
      </w:pPr>
      <w:r>
        <w:t xml:space="preserve"/>
      </w:r>
    </w:p>
    <w:p>
      <w:pPr>
        <w:pStyle w:val="Heading3"/>
        <w:spacing w:after="140" w:before="280"/>
      </w:pPr>
      <w:r>
        <w:rPr>
          <w:rFonts w:ascii="Arial" w:cs="Arial" w:eastAsia="Arial" w:hAnsi="Arial"/>
          <w:b/>
          <w:bCs/>
          <w:color w:val="333333"/>
          <w:sz w:val="22"/>
          <w:szCs w:val="22"/>
        </w:rPr>
        <w:t xml:space="preserve">Rendimiento del endpoint Send</w:t>
      </w:r>
    </w:p>
    <w:p>
      <w:pPr>
        <w:pStyle w:val="ListParagraph"/>
        <w:numPr>
          <w:ilvl w:val="0"/>
          <w:numId w:val="2"/>
        </w:numPr>
        <w:spacing w:after="80"/>
      </w:pPr>
      <w:r>
        <w:rPr>
          <w:rFonts w:ascii="Arial" w:cs="Arial" w:eastAsia="Arial" w:hAnsi="Arial"/>
          <w:sz w:val="20"/>
          <w:szCs w:val="20"/>
        </w:rPr>
        <w:t xml:space="preserve">El endpoint demostró un comportamiento estable y consistente entre P1 y P5 (4 a 120 hilos concurrentes), con tiempos de respuesta promedio de aproximadamente 2 segundos y 0% de errores funcionales en todos esos niveles.</w:t>
      </w:r>
    </w:p>
    <w:p>
      <w:pPr>
        <w:pStyle w:val="ListParagraph"/>
        <w:numPr>
          <w:ilvl w:val="0"/>
          <w:numId w:val="2"/>
        </w:numPr>
        <w:spacing w:after="80"/>
      </w:pPr>
      <w:r>
        <w:rPr>
          <w:rFonts w:ascii="Arial" w:cs="Arial" w:eastAsia="Arial" w:hAnsi="Arial"/>
          <w:sz w:val="20"/>
          <w:szCs w:val="20"/>
        </w:rPr>
        <w:t xml:space="preserve">El tiempo de respuesta base de ~2 segundos es inherente a la arquitectura del servicio: el endpoint debe completar la comunicación con Firebase Cloud Messaging (FCM) antes de responder al cliente. Este comportamiento es esperado y no representa una anomalía de rendimiento.</w:t>
      </w:r>
    </w:p>
    <w:p>
      <w:pPr>
        <w:pStyle w:val="ListParagraph"/>
        <w:numPr>
          <w:ilvl w:val="0"/>
          <w:numId w:val="2"/>
        </w:numPr>
        <w:spacing w:after="80"/>
      </w:pPr>
      <w:r>
        <w:rPr>
          <w:rFonts w:ascii="Arial" w:cs="Arial" w:eastAsia="Arial" w:hAnsi="Arial"/>
          <w:sz w:val="20"/>
          <w:szCs w:val="20"/>
        </w:rPr>
        <w:t xml:space="preserve">En P6 (160 hilos) y P7 (280 hilos) se registraron errores de SocketException e HttpHostConnectException, todos atribuibles al agotamiento de puertos TCP del equipo cliente de pruebas. Dynatrace confirma 0% de rechazos por parte del servidor en ambos niveles.</w:t>
      </w:r>
    </w:p>
    <w:p>
      <w:pPr>
        <w:pStyle w:val="ListParagraph"/>
        <w:numPr>
          <w:ilvl w:val="0"/>
          <w:numId w:val="2"/>
        </w:numPr>
        <w:spacing w:after="80"/>
      </w:pPr>
      <w:r>
        <w:rPr>
          <w:rFonts w:ascii="Arial" w:cs="Arial" w:eastAsia="Arial" w:hAnsi="Arial"/>
          <w:sz w:val="20"/>
          <w:szCs w:val="20"/>
        </w:rPr>
        <w:t xml:space="preserve">El P99 de 1,163 segundos registrado en P7 corresponde a conexiones que permanecieron en cola del cliente antes de ser descartadas, y no refleja el tiempo de respuesta del servidor.</w:t>
      </w:r>
    </w:p>
    <w:p>
      <w:pPr>
        <w:spacing w:after="180"/>
      </w:pPr>
      <w:r>
        <w:t xml:space="preserve"/>
      </w:r>
    </w:p>
    <w:p>
      <w:pPr>
        <w:pStyle w:val="Heading3"/>
        <w:spacing w:after="140" w:before="280"/>
      </w:pPr>
      <w:r>
        <w:rPr>
          <w:rFonts w:ascii="Arial" w:cs="Arial" w:eastAsia="Arial" w:hAnsi="Arial"/>
          <w:b/>
          <w:bCs/>
          <w:color w:val="333333"/>
          <w:sz w:val="22"/>
          <w:szCs w:val="22"/>
        </w:rPr>
        <w:t xml:space="preserve">Límite operativo identificado</w:t>
      </w:r>
    </w:p>
    <w:p>
      <w:pPr>
        <w:pStyle w:val="ListParagraph"/>
        <w:numPr>
          <w:ilvl w:val="0"/>
          <w:numId w:val="2"/>
        </w:numPr>
        <w:spacing w:after="80"/>
      </w:pPr>
      <w:r>
        <w:rPr>
          <w:rFonts w:ascii="Arial" w:cs="Arial" w:eastAsia="Arial" w:hAnsi="Arial"/>
          <w:sz w:val="20"/>
          <w:szCs w:val="20"/>
        </w:rPr>
        <w:t xml:space="preserve">P5 (120 hilos concurrentes) es el nivel máximo validado sin errores ni degradación. Con un throughput de 58.59 req/s y tiempo promedio de 2.022 segundos, este nivel representa la capacidad operativa confiable del endpoint bajo las condiciones de prueba ejecutadas.</w:t>
      </w:r>
    </w:p>
    <w:p>
      <w:pPr>
        <w:pStyle w:val="ListParagraph"/>
        <w:numPr>
          <w:ilvl w:val="0"/>
          <w:numId w:val="2"/>
        </w:numPr>
        <w:spacing w:after="80"/>
      </w:pPr>
      <w:r>
        <w:rPr>
          <w:rFonts w:ascii="Arial" w:cs="Arial" w:eastAsia="Arial" w:hAnsi="Arial"/>
          <w:sz w:val="20"/>
          <w:szCs w:val="20"/>
        </w:rPr>
        <w:t xml:space="preserve">La degradación observada en P6 y P7 está condicionada por el cliente de pruebas y no por el servidor. Sin embargo, dado que el endpoint tiene una dependencia externa con FCM que no es controlable, se recomienda P5 como referencia de carga máxima sostenible.</w:t>
      </w:r>
    </w:p>
    <w:p>
      <w:pPr>
        <w:spacing w:after="180"/>
      </w:pPr>
      <w:r>
        <w:t xml:space="preserve"/>
      </w:r>
    </w:p>
    <w:p>
      <w:pPr>
        <w:pStyle w:val="Heading3"/>
        <w:spacing w:after="140" w:before="280"/>
      </w:pPr>
      <w:r>
        <w:rPr>
          <w:rFonts w:ascii="Arial" w:cs="Arial" w:eastAsia="Arial" w:hAnsi="Arial"/>
          <w:b/>
          <w:bCs/>
          <w:color w:val="333333"/>
          <w:sz w:val="22"/>
          <w:szCs w:val="22"/>
        </w:rPr>
        <w:t xml:space="preserve">Recomendaciones</w:t>
      </w:r>
    </w:p>
    <w:p>
      <w:pPr>
        <w:pStyle w:val="ListParagraph"/>
        <w:numPr>
          <w:ilvl w:val="0"/>
          <w:numId w:val="2"/>
        </w:numPr>
        <w:spacing w:after="80"/>
      </w:pPr>
      <w:r>
        <w:rPr>
          <w:rFonts w:ascii="Arial" w:cs="Arial" w:eastAsia="Arial" w:hAnsi="Arial"/>
          <w:sz w:val="20"/>
          <w:szCs w:val="20"/>
        </w:rPr>
        <w:t xml:space="preserve">La API Support Notification se encuentra en condiciones aptas para producción dentro del rango P1-P5. No se identificaron fallos funcionales del servidor en ningún nivel ejecutado.</w:t>
      </w:r>
    </w:p>
    <w:p>
      <w:pPr>
        <w:pStyle w:val="ListParagraph"/>
        <w:numPr>
          <w:ilvl w:val="0"/>
          <w:numId w:val="2"/>
        </w:numPr>
        <w:spacing w:after="80"/>
      </w:pPr>
      <w:r>
        <w:rPr>
          <w:rFonts w:ascii="Arial" w:cs="Arial" w:eastAsia="Arial" w:hAnsi="Arial"/>
          <w:sz w:val="20"/>
          <w:szCs w:val="20"/>
        </w:rPr>
        <w:t xml:space="preserve">Se recomienda implementar un mecanismo de reintentos y manejo de timeout en los consumidores del servicio, considerando que el tiempo de respuesta base (~2 segundos) puede incrementarse bajo condiciones de latencia con el proveedor FCM en producción.</w:t>
      </w:r>
    </w:p>
    <w:p>
      <w:pPr>
        <w:pStyle w:val="ListParagraph"/>
        <w:numPr>
          <w:ilvl w:val="0"/>
          <w:numId w:val="2"/>
        </w:numPr>
        <w:spacing w:after="80"/>
      </w:pPr>
      <w:r>
        <w:rPr>
          <w:rFonts w:ascii="Arial" w:cs="Arial" w:eastAsia="Arial" w:hAnsi="Arial"/>
          <w:sz w:val="20"/>
          <w:szCs w:val="20"/>
        </w:rPr>
        <w:t xml:space="preserve">Para pruebas futuras, se recomienda ejecutar las pruebas de concurrencia (X1, X10, X30) con el endpoint para obtener métricas bajo el modelo de TPS y complementar el análisis de capacidad.</w:t>
      </w:r>
    </w:p>
    <w:p>
      <w:pPr>
        <w:spacing w:after="180"/>
      </w:pPr>
      <w:r>
        <w:t xml:space="preserve"/>
      </w:r>
    </w:p>
    <w:p>
      <w:pPr>
        <w:pStyle w:val="Heading1"/>
        <w:spacing w:after="200" w:before="400"/>
      </w:pPr>
      <w:r>
        <w:rPr>
          <w:rFonts w:ascii="Arial" w:cs="Arial" w:eastAsia="Arial" w:hAnsi="Arial"/>
          <w:b/>
          <w:bCs/>
          <w:color w:val="1F4E79"/>
          <w:sz w:val="28"/>
          <w:szCs w:val="28"/>
        </w:rPr>
        <w:t xml:space="preserve">VIII. Anexos</w:t>
      </w:r>
    </w:p>
    <w:p>
      <w:pPr>
        <w:spacing w:after="120"/>
      </w:pPr>
      <w:r>
        <w:rPr>
          <w:rFonts w:ascii="Arial" w:cs="Arial" w:eastAsia="Arial" w:hAnsi="Arial"/>
          <w:b w:val="false"/>
          <w:bCs w:val="false"/>
          <w:color w:val="666666"/>
          <w:sz w:val="20"/>
          <w:szCs w:val="20"/>
        </w:rPr>
        <w:t xml:space="preserve">Datos elaborados para Uso Interno</w:t>
      </w:r>
    </w:p>
    <w:p>
      <w:pPr>
        <w:spacing w:after="120"/>
      </w:pPr>
      <w:r>
        <w:rPr>
          <w:rFonts w:ascii="Arial" w:cs="Arial" w:eastAsia="Arial" w:hAnsi="Arial"/>
          <w:b w:val="false"/>
          <w:bCs w:val="false"/>
          <w:color w:val="666666"/>
          <w:sz w:val="20"/>
          <w:szCs w:val="20"/>
        </w:rPr>
        <w:t xml:space="preserve">Datos elaborados para Uso Interno</w:t>
      </w:r>
    </w:p>
    <w:p>
      <w:pPr>
        <w:spacing w:after="120"/>
      </w:pPr>
      <w:r>
        <w:rPr>
          <w:rFonts w:ascii="Arial" w:cs="Arial" w:eastAsia="Arial" w:hAnsi="Arial"/>
          <w:b w:val="false"/>
          <w:bCs w:val="false"/>
          <w:color w:val="666666"/>
          <w:sz w:val="20"/>
          <w:szCs w:val="20"/>
        </w:rPr>
        <w:t xml:space="preserve">Datos elaborados para Uso Interno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2026-04-30T02:55:14.711Z</dcterms:created>
  <dcterms:modified xsi:type="dcterms:W3CDTF">2026-04-30T02:55:14.733Z</dcterms:modified>
</cp:coreProperties>
</file>

<file path=docProps/custom.xml><?xml version="1.0" encoding="utf-8"?>
<Properties xmlns="http://schemas.openxmlformats.org/officeDocument/2006/custom-properties" xmlns:vt="http://schemas.openxmlformats.org/officeDocument/2006/docPropsVTypes"/>
</file>