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AA7" w:rsidRDefault="00916213">
      <w:pPr>
        <w:spacing w:before="2880" w:after="36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INFORME DE PRUEBAS DE RENDIMIENTO</w:t>
      </w:r>
    </w:p>
    <w:p w:rsidR="003F2AA7" w:rsidRDefault="00916213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API BUSINESS ACCOUNT V2</w:t>
      </w:r>
    </w:p>
    <w:p w:rsidR="003F2AA7" w:rsidRDefault="00916213">
      <w:pPr>
        <w:spacing w:after="200"/>
        <w:jc w:val="center"/>
      </w:pPr>
      <w:r>
        <w:rPr>
          <w:color w:val="666666"/>
          <w:sz w:val="28"/>
          <w:szCs w:val="28"/>
        </w:rPr>
        <w:t>Yape</w:t>
      </w:r>
    </w:p>
    <w:p w:rsidR="003F2AA7" w:rsidRDefault="00916213">
      <w:pPr>
        <w:jc w:val="center"/>
      </w:pPr>
      <w:r>
        <w:rPr>
          <w:color w:val="666666"/>
          <w:sz w:val="24"/>
          <w:szCs w:val="24"/>
        </w:rPr>
        <w:t>Abril 2026</w:t>
      </w:r>
    </w:p>
    <w:p w:rsidR="003F2AA7" w:rsidRDefault="00916213">
      <w:r>
        <w:br w:type="page"/>
      </w:r>
    </w:p>
    <w:p w:rsidR="003F2AA7" w:rsidRDefault="00916213">
      <w:pPr>
        <w:pStyle w:val="Ttulo1"/>
      </w:pPr>
      <w:r>
        <w:lastRenderedPageBreak/>
        <w:t>I. Antecedentes</w:t>
      </w:r>
    </w:p>
    <w:p w:rsidR="003F2AA7" w:rsidRDefault="00916213">
      <w:pPr>
        <w:spacing w:after="120"/>
      </w:pPr>
      <w:r>
        <w:rPr>
          <w:color w:val="1A1A1A"/>
        </w:rPr>
        <w:t xml:space="preserve">Actualmente, el </w:t>
      </w:r>
      <w:proofErr w:type="spellStart"/>
      <w:r>
        <w:rPr>
          <w:color w:val="1A1A1A"/>
        </w:rPr>
        <w:t>Squad</w:t>
      </w:r>
      <w:proofErr w:type="spellEnd"/>
      <w:r>
        <w:rPr>
          <w:color w:val="1A1A1A"/>
        </w:rPr>
        <w:t xml:space="preserve"> de Remesas se encuentra desarrollando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que serán consumidas por distintos módulos de la aplicación. La API Business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es un servicio de tipo </w:t>
      </w:r>
      <w:proofErr w:type="spellStart"/>
      <w:r>
        <w:rPr>
          <w:color w:val="1A1A1A"/>
        </w:rPr>
        <w:t>cross</w:t>
      </w:r>
      <w:proofErr w:type="spellEnd"/>
      <w:r>
        <w:rPr>
          <w:color w:val="1A1A1A"/>
        </w:rPr>
        <w:t xml:space="preserve"> utilizado por múltiples proyectos, incluyendo el </w:t>
      </w:r>
      <w:proofErr w:type="spellStart"/>
      <w:r>
        <w:rPr>
          <w:color w:val="1A1A1A"/>
        </w:rPr>
        <w:t>Squad</w:t>
      </w:r>
      <w:proofErr w:type="spellEnd"/>
      <w:r>
        <w:rPr>
          <w:color w:val="1A1A1A"/>
        </w:rPr>
        <w:t xml:space="preserve"> de Remesas. En este co</w:t>
      </w:r>
      <w:r>
        <w:rPr>
          <w:color w:val="1A1A1A"/>
        </w:rPr>
        <w:t>ntexto, se requiere validar el comportamiento de la versión 2 (V2) del servicio bajo diferentes niveles de carga concurrente, a fin de garantizar una experiencia de usuario adecuada en producción para todos los consumidores.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t>II. Problemática</w:t>
      </w:r>
    </w:p>
    <w:p w:rsidR="003F2AA7" w:rsidRDefault="00916213">
      <w:pPr>
        <w:spacing w:after="120"/>
      </w:pPr>
      <w:r>
        <w:rPr>
          <w:color w:val="1A1A1A"/>
        </w:rPr>
        <w:t xml:space="preserve">La versión 2 </w:t>
      </w:r>
      <w:r>
        <w:rPr>
          <w:color w:val="1A1A1A"/>
        </w:rPr>
        <w:t xml:space="preserve">de la API Business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introduce un cambio en el contrato del response </w:t>
      </w:r>
      <w:proofErr w:type="spellStart"/>
      <w:r>
        <w:rPr>
          <w:color w:val="1A1A1A"/>
        </w:rPr>
        <w:t>body</w:t>
      </w:r>
      <w:proofErr w:type="spellEnd"/>
      <w:r>
        <w:rPr>
          <w:color w:val="1A1A1A"/>
        </w:rPr>
        <w:t xml:space="preserve">: el campo </w:t>
      </w:r>
      <w:proofErr w:type="spellStart"/>
      <w:r>
        <w:rPr>
          <w:color w:val="1A1A1A"/>
        </w:rPr>
        <w:t>middleName</w:t>
      </w:r>
      <w:proofErr w:type="spellEnd"/>
      <w:r>
        <w:rPr>
          <w:color w:val="1A1A1A"/>
        </w:rPr>
        <w:t xml:space="preserve"> fue reemplazado por </w:t>
      </w:r>
      <w:proofErr w:type="spellStart"/>
      <w:r>
        <w:rPr>
          <w:color w:val="1A1A1A"/>
        </w:rPr>
        <w:t>secondLastName</w:t>
      </w:r>
      <w:proofErr w:type="spellEnd"/>
      <w:r>
        <w:rPr>
          <w:color w:val="1A1A1A"/>
        </w:rPr>
        <w:t>. Se requiere validar que este cambio no ha impactado negativamente el rendimiento del servicio respecto a la versión ant</w:t>
      </w:r>
      <w:r>
        <w:rPr>
          <w:color w:val="1A1A1A"/>
        </w:rPr>
        <w:t xml:space="preserve">erior (V1), y que 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mantiene los niveles de calidad establecidos bajo los diferentes escenarios de carga definidos por el equipo de arquitectura.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t>III. Objetivo</w:t>
      </w:r>
    </w:p>
    <w:p w:rsidR="003F2AA7" w:rsidRDefault="00916213">
      <w:pPr>
        <w:spacing w:after="120"/>
      </w:pPr>
      <w:r>
        <w:rPr>
          <w:color w:val="1A1A1A"/>
        </w:rPr>
        <w:t xml:space="preserve">Validar el tiempo de respuesta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V2 bajo las di</w:t>
      </w:r>
      <w:r>
        <w:rPr>
          <w:color w:val="1A1A1A"/>
        </w:rPr>
        <w:t>stintas configuraciones de carga definidas, comparando los resultados obtenidos con la versión V1 e identificando el nivel máximo de concurrencia sostenible dentro de los parámetros de calidad establecidos.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t>IV. Alcance</w:t>
      </w:r>
    </w:p>
    <w:p w:rsidR="003F2AA7" w:rsidRDefault="00916213">
      <w:pPr>
        <w:spacing w:after="120"/>
      </w:pPr>
      <w:r>
        <w:rPr>
          <w:color w:val="1A1A1A"/>
        </w:rPr>
        <w:t>Las pruebas de rendimiento se realiz</w:t>
      </w:r>
      <w:r>
        <w:rPr>
          <w:color w:val="1A1A1A"/>
        </w:rPr>
        <w:t xml:space="preserve">aron sobre el siguiente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de la API Business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V2:</w:t>
      </w:r>
    </w:p>
    <w:p w:rsidR="003F2AA7" w:rsidRDefault="003F2AA7">
      <w:pPr>
        <w:spacing w:after="180"/>
      </w:pP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proofErr w:type="spellStart"/>
      <w:r>
        <w:t>Get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>: GET http://cerbbw:4049/bs-acc-v1/business/account/v1/get</w:t>
      </w:r>
    </w:p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b/>
          <w:bCs/>
          <w:color w:val="1A1A1A"/>
        </w:rPr>
        <w:t>Cambio introducido en V2 respecto a V1: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El campo </w:t>
      </w:r>
      <w:proofErr w:type="spellStart"/>
      <w:r>
        <w:t>middleName</w:t>
      </w:r>
      <w:proofErr w:type="spellEnd"/>
      <w:r>
        <w:t xml:space="preserve"> del response </w:t>
      </w:r>
      <w:proofErr w:type="spellStart"/>
      <w:r>
        <w:t>body</w:t>
      </w:r>
      <w:proofErr w:type="spellEnd"/>
      <w:r>
        <w:t xml:space="preserve"> fue renombrado a </w:t>
      </w:r>
      <w:proofErr w:type="spellStart"/>
      <w:r>
        <w:t>secondLastName</w:t>
      </w:r>
      <w:proofErr w:type="spellEnd"/>
      <w:r>
        <w:t>. No se re</w:t>
      </w:r>
      <w:r>
        <w:t xml:space="preserve">alizaron cambios en la lógica de negocio ni en la estructura del </w:t>
      </w:r>
      <w:proofErr w:type="spellStart"/>
      <w:r>
        <w:t>endpoint</w:t>
      </w:r>
      <w:proofErr w:type="spellEnd"/>
      <w:r>
        <w:t>.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t>V. Planificación de la Prueba</w:t>
      </w:r>
    </w:p>
    <w:p w:rsidR="003F2AA7" w:rsidRDefault="00916213">
      <w:pPr>
        <w:spacing w:after="120"/>
      </w:pPr>
      <w:r>
        <w:rPr>
          <w:color w:val="1A1A1A"/>
        </w:rPr>
        <w:t xml:space="preserve">Para estas pruebas se utilizó el siguiente modelo de carga en Apache </w:t>
      </w:r>
      <w:proofErr w:type="spellStart"/>
      <w:r>
        <w:rPr>
          <w:color w:val="1A1A1A"/>
        </w:rPr>
        <w:t>JMeter</w:t>
      </w:r>
      <w:proofErr w:type="spellEnd"/>
      <w:r>
        <w:rPr>
          <w:color w:val="1A1A1A"/>
        </w:rPr>
        <w:t xml:space="preserve"> 5.6.3:</w:t>
      </w:r>
    </w:p>
    <w:p w:rsidR="003F2AA7" w:rsidRDefault="003F2AA7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3F2A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3F2AA7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P6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r>
              <w:rPr>
                <w:b/>
                <w:bCs/>
                <w:color w:val="1A1A1A"/>
                <w:sz w:val="18"/>
                <w:szCs w:val="18"/>
              </w:rPr>
              <w:t>Número de Hilos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280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800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1200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Periodo de Subida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r>
              <w:rPr>
                <w:b/>
                <w:bCs/>
                <w:color w:val="1A1A1A"/>
                <w:sz w:val="18"/>
                <w:szCs w:val="18"/>
              </w:rPr>
              <w:t>Duración (segundos)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</w:tr>
    </w:tbl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1A1A1A"/>
        </w:rPr>
        <w:t>Adicionalmente se ejecutaron pruebas de carga bajo modelo de TPS (transacciones por segundo) con los siguientes niveles objetivo:</w:t>
      </w:r>
    </w:p>
    <w:p w:rsidR="003F2AA7" w:rsidRDefault="003F2AA7">
      <w:pPr>
        <w:spacing w:after="180"/>
      </w:pP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X1: 84 TPS (carga base proyectada)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X3: 252 TPS (3 veces la carga base)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X5: 420 TPS (5 veces la carga base)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t xml:space="preserve">VI. Resultado de </w:t>
      </w:r>
      <w:r>
        <w:t>las Pruebas</w:t>
      </w:r>
    </w:p>
    <w:p w:rsidR="003F2AA7" w:rsidRDefault="00916213">
      <w:pPr>
        <w:pStyle w:val="Ttulo2"/>
      </w:pPr>
      <w:r>
        <w:t>VI.1 Pruebas de Carga P1 – P10</w:t>
      </w:r>
    </w:p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mantuvo un comportamiento estable y consistente a lo largo de toda la matriz P1-P10. Los tiempos de respuesta promedio se mantuvieron entre 711ms y 913ms hasta P9 sin registrar errores. En P10 (1,200 </w:t>
      </w:r>
      <w:r>
        <w:rPr>
          <w:color w:val="1A1A1A"/>
        </w:rPr>
        <w:t xml:space="preserve">hilos concurrentes) se registraron 1,212 errores (0.97%) correspondientes a </w:t>
      </w:r>
      <w:proofErr w:type="spellStart"/>
      <w:r>
        <w:rPr>
          <w:color w:val="1A1A1A"/>
        </w:rPr>
        <w:t>BindException</w:t>
      </w:r>
      <w:proofErr w:type="spellEnd"/>
      <w:r>
        <w:rPr>
          <w:color w:val="1A1A1A"/>
        </w:rPr>
        <w:t xml:space="preserve"> (1,194) y </w:t>
      </w:r>
      <w:proofErr w:type="spellStart"/>
      <w:r>
        <w:rPr>
          <w:color w:val="1A1A1A"/>
        </w:rPr>
        <w:t>ConnectTimeoutException</w:t>
      </w:r>
      <w:proofErr w:type="spellEnd"/>
      <w:r>
        <w:rPr>
          <w:color w:val="1A1A1A"/>
        </w:rPr>
        <w:t xml:space="preserve"> (18), los cuales son 100% atribuibles a la limitación de puertos TCP disponibles en el equipo cliente de pruebas. El servidor no reg</w:t>
      </w:r>
      <w:r>
        <w:rPr>
          <w:color w:val="1A1A1A"/>
        </w:rPr>
        <w:t xml:space="preserve">istró ningún fallo en ningún nivel de carga, lo cual fue corroborado mediante </w:t>
      </w:r>
      <w:proofErr w:type="spellStart"/>
      <w:r>
        <w:rPr>
          <w:color w:val="1A1A1A"/>
        </w:rPr>
        <w:t>Dynatrace</w:t>
      </w:r>
      <w:proofErr w:type="spellEnd"/>
      <w:r>
        <w:rPr>
          <w:color w:val="1A1A1A"/>
        </w:rPr>
        <w:t>.</w:t>
      </w:r>
    </w:p>
    <w:p w:rsidR="003F2AA7" w:rsidRDefault="003F2AA7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787"/>
        <w:gridCol w:w="1488"/>
        <w:gridCol w:w="2615"/>
        <w:gridCol w:w="2618"/>
      </w:tblGrid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679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0.752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2.27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3,951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13.17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8,359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0.712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27.87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24,882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82.95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49,181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163.93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63,607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0.726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212.03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96,310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320.81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111,062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0.766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368.41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122,251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0.913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406.88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124,884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0.97%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1.199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411.90</w:t>
            </w:r>
          </w:p>
        </w:tc>
      </w:tr>
    </w:tbl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666666"/>
        </w:rPr>
        <w:t>Nota: Los errores registrados en P10 (</w:t>
      </w:r>
      <w:proofErr w:type="spellStart"/>
      <w:r>
        <w:rPr>
          <w:color w:val="666666"/>
        </w:rPr>
        <w:t>BindException</w:t>
      </w:r>
      <w:proofErr w:type="spellEnd"/>
      <w:r>
        <w:rPr>
          <w:color w:val="666666"/>
        </w:rPr>
        <w:t xml:space="preserve"> y </w:t>
      </w:r>
      <w:proofErr w:type="spellStart"/>
      <w:r>
        <w:rPr>
          <w:color w:val="666666"/>
        </w:rPr>
        <w:t>ConnectTimeoutException</w:t>
      </w:r>
      <w:proofErr w:type="spellEnd"/>
      <w:r>
        <w:rPr>
          <w:color w:val="666666"/>
        </w:rPr>
        <w:t xml:space="preserve">) son de origen externo a la aplicación, producidos por el agotamiento de puertos de red del equipo cliente bajo carga de 1,200 hilos concurrentes. </w:t>
      </w:r>
      <w:proofErr w:type="spellStart"/>
      <w:r>
        <w:rPr>
          <w:color w:val="666666"/>
        </w:rPr>
        <w:t>Dynatrace</w:t>
      </w:r>
      <w:proofErr w:type="spellEnd"/>
      <w:r>
        <w:rPr>
          <w:color w:val="666666"/>
        </w:rPr>
        <w:t xml:space="preserve"> confirma 0% de rechaz</w:t>
      </w:r>
      <w:r>
        <w:rPr>
          <w:color w:val="666666"/>
        </w:rPr>
        <w:t xml:space="preserve">os por parte de la aplicación Business </w:t>
      </w:r>
      <w:proofErr w:type="spellStart"/>
      <w:r>
        <w:rPr>
          <w:color w:val="666666"/>
        </w:rPr>
        <w:t>Account</w:t>
      </w:r>
      <w:proofErr w:type="spellEnd"/>
      <w:r>
        <w:rPr>
          <w:color w:val="666666"/>
        </w:rPr>
        <w:t xml:space="preserve"> V2.</w:t>
      </w:r>
    </w:p>
    <w:p w:rsidR="003F2AA7" w:rsidRDefault="003F2AA7">
      <w:pPr>
        <w:spacing w:after="180"/>
      </w:pPr>
    </w:p>
    <w:p w:rsidR="003F2AA7" w:rsidRDefault="00916213">
      <w:pPr>
        <w:pStyle w:val="Ttulo2"/>
      </w:pPr>
      <w:r>
        <w:t>VI.2 Pruebas de Concurrencia X1, X3, X5</w:t>
      </w:r>
    </w:p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1A1A1A"/>
        </w:rPr>
        <w:t>Las pruebas de concurrencia se ejecutaron bajo un modelo de TPS objetivo, donde X1 representa la carga base de 84 TPS, X3 representa tres veces dicha carga (252 TP</w:t>
      </w:r>
      <w:r>
        <w:rPr>
          <w:color w:val="1A1A1A"/>
        </w:rPr>
        <w:t xml:space="preserve">S) y X5 representa cinco veces la carga base (420 TPS). Los TPS reales alcanzados son inferiores a los objetivos dado que el </w:t>
      </w:r>
      <w:proofErr w:type="spellStart"/>
      <w:r>
        <w:rPr>
          <w:color w:val="1A1A1A"/>
        </w:rPr>
        <w:t>throughput</w:t>
      </w:r>
      <w:proofErr w:type="spellEnd"/>
      <w:r>
        <w:rPr>
          <w:color w:val="1A1A1A"/>
        </w:rPr>
        <w:t xml:space="preserve"> efectivo está condicionado por el tiempo de respuesta del servidor.</w:t>
      </w:r>
    </w:p>
    <w:p w:rsidR="003F2AA7" w:rsidRDefault="003F2AA7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547"/>
        <w:gridCol w:w="1575"/>
        <w:gridCol w:w="1556"/>
        <w:gridCol w:w="1575"/>
        <w:gridCol w:w="1465"/>
        <w:gridCol w:w="791"/>
      </w:tblGrid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Objetivo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 Real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84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23,192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23,192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0.744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62.82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252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70,688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70,672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0.760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190.04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420 TPS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106,627</w:t>
            </w:r>
          </w:p>
        </w:tc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106,627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0.797</w:t>
            </w:r>
          </w:p>
        </w:tc>
        <w:tc>
          <w:tcPr>
            <w:tcW w:w="6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294.27</w:t>
            </w:r>
          </w:p>
        </w:tc>
      </w:tr>
    </w:tbl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666666"/>
        </w:rPr>
        <w:t xml:space="preserve">Los 16 errores registrados en X3 corresponden a </w:t>
      </w:r>
      <w:proofErr w:type="spellStart"/>
      <w:r>
        <w:rPr>
          <w:color w:val="666666"/>
        </w:rPr>
        <w:t>SocketException</w:t>
      </w:r>
      <w:proofErr w:type="spellEnd"/>
      <w:r>
        <w:rPr>
          <w:color w:val="666666"/>
        </w:rPr>
        <w:t xml:space="preserve">, originados en la infraestructura de red del equipo cliente de pruebas. El servidor no registró rechazos para ninguno de los tres niveles de concurrencia, lo cual fue validado mediante </w:t>
      </w:r>
      <w:proofErr w:type="spellStart"/>
      <w:r>
        <w:rPr>
          <w:color w:val="666666"/>
        </w:rPr>
        <w:t>Dynatra</w:t>
      </w:r>
      <w:r>
        <w:rPr>
          <w:color w:val="666666"/>
        </w:rPr>
        <w:t>ce</w:t>
      </w:r>
      <w:proofErr w:type="spellEnd"/>
      <w:r>
        <w:rPr>
          <w:color w:val="666666"/>
        </w:rPr>
        <w:t>.</w:t>
      </w:r>
    </w:p>
    <w:p w:rsidR="003F2AA7" w:rsidRDefault="003F2AA7">
      <w:pPr>
        <w:spacing w:after="180"/>
      </w:pPr>
    </w:p>
    <w:p w:rsidR="003F2AA7" w:rsidRDefault="00916213">
      <w:pPr>
        <w:pStyle w:val="Ttulo2"/>
      </w:pPr>
      <w:r>
        <w:t>VI.3 Comparación V1 vs V2</w:t>
      </w:r>
    </w:p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1A1A1A"/>
        </w:rPr>
        <w:t xml:space="preserve">A </w:t>
      </w:r>
      <w:proofErr w:type="gramStart"/>
      <w:r>
        <w:rPr>
          <w:color w:val="1A1A1A"/>
        </w:rPr>
        <w:t>continuación</w:t>
      </w:r>
      <w:proofErr w:type="gramEnd"/>
      <w:r>
        <w:rPr>
          <w:color w:val="1A1A1A"/>
        </w:rPr>
        <w:t xml:space="preserve"> se presenta una comparación directa de tiempos de respuesta promedio y porcentaje de error entre la versión V1 y V2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>. Las celdas en verde indican una mejora en V2 respecto a V1.</w:t>
      </w:r>
    </w:p>
    <w:p w:rsidR="003F2AA7" w:rsidRDefault="003F2AA7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023"/>
        <w:gridCol w:w="2023"/>
        <w:gridCol w:w="2202"/>
        <w:gridCol w:w="2261"/>
      </w:tblGrid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V1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V2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Error% V1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Error% V2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0.748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0.752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0.783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0.754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0.797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0.712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0.774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0.711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0.714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0.718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0.752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0.726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0.802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0.756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0.843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0.766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1.042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0.913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</w:tr>
      <w:tr w:rsidR="003F2AA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1.294</w:t>
            </w:r>
          </w:p>
        </w:tc>
        <w:tc>
          <w:tcPr>
            <w:tcW w:w="20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1.199</w:t>
            </w:r>
          </w:p>
        </w:tc>
        <w:tc>
          <w:tcPr>
            <w:tcW w:w="22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0.70%</w:t>
            </w:r>
          </w:p>
        </w:tc>
        <w:tc>
          <w:tcPr>
            <w:tcW w:w="22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2AA7" w:rsidRDefault="00916213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0.97%</w:t>
            </w:r>
          </w:p>
        </w:tc>
      </w:tr>
    </w:tbl>
    <w:p w:rsidR="003F2AA7" w:rsidRDefault="003F2AA7">
      <w:pPr>
        <w:spacing w:after="180"/>
      </w:pPr>
    </w:p>
    <w:p w:rsidR="003F2AA7" w:rsidRDefault="00916213">
      <w:pPr>
        <w:spacing w:after="120"/>
      </w:pPr>
      <w:r>
        <w:rPr>
          <w:color w:val="1A1A1A"/>
        </w:rPr>
        <w:lastRenderedPageBreak/>
        <w:t xml:space="preserve">La versión V2 muestra tiempos de respuesta iguales o menores en la mayoría de los niveles de prueba, confirmando que el cambio de campo en el response </w:t>
      </w:r>
      <w:proofErr w:type="spellStart"/>
      <w:r>
        <w:rPr>
          <w:color w:val="1A1A1A"/>
        </w:rPr>
        <w:t>body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middleName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secondLastName</w:t>
      </w:r>
      <w:proofErr w:type="spellEnd"/>
      <w:r>
        <w:rPr>
          <w:color w:val="1A1A1A"/>
        </w:rPr>
        <w:t>) no generó impacto negativo en el rendimiento. En P9, V2 mejoró signifi</w:t>
      </w:r>
      <w:r>
        <w:rPr>
          <w:color w:val="1A1A1A"/>
        </w:rPr>
        <w:t>cativamente respecto a V1 (0.91s vs 1.04s, y 0% de errores vs 0.70%).</w:t>
      </w:r>
    </w:p>
    <w:p w:rsidR="003F2AA7" w:rsidRDefault="003F2AA7">
      <w:pPr>
        <w:spacing w:after="180"/>
      </w:pPr>
    </w:p>
    <w:p w:rsidR="003F2AA7" w:rsidRDefault="00916213">
      <w:r>
        <w:br w:type="page"/>
      </w:r>
    </w:p>
    <w:p w:rsidR="003F2AA7" w:rsidRDefault="00916213">
      <w:pPr>
        <w:pStyle w:val="Ttulo1"/>
      </w:pPr>
      <w:r>
        <w:lastRenderedPageBreak/>
        <w:t>VII. Conclusiones</w:t>
      </w:r>
    </w:p>
    <w:p w:rsidR="003F2AA7" w:rsidRDefault="00916213">
      <w:pPr>
        <w:spacing w:after="120"/>
      </w:pPr>
      <w:r>
        <w:rPr>
          <w:color w:val="1A1A1A"/>
        </w:rPr>
        <w:t xml:space="preserve">De las pruebas y análisis realizados sobre la API Business </w:t>
      </w:r>
      <w:proofErr w:type="spellStart"/>
      <w:r>
        <w:rPr>
          <w:color w:val="1A1A1A"/>
        </w:rPr>
        <w:t>Account</w:t>
      </w:r>
      <w:proofErr w:type="spellEnd"/>
      <w:r>
        <w:rPr>
          <w:color w:val="1A1A1A"/>
        </w:rPr>
        <w:t xml:space="preserve"> V2 se concluye lo siguiente:</w:t>
      </w:r>
    </w:p>
    <w:p w:rsidR="003F2AA7" w:rsidRDefault="003F2AA7">
      <w:pPr>
        <w:spacing w:after="180"/>
      </w:pPr>
    </w:p>
    <w:p w:rsidR="003F2AA7" w:rsidRDefault="00916213">
      <w:pPr>
        <w:pStyle w:val="Ttulo3"/>
        <w:spacing w:before="280" w:after="140"/>
      </w:pPr>
      <w:r>
        <w:rPr>
          <w:color w:val="333333"/>
        </w:rPr>
        <w:t>Rendimiento general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completó la matriz P1-P9 sin registrar ningún error funcional. Los tiempos de respuesta promedio se mantuvieron por debajo de 1 segundo hasta P9, evidenciando excelente estabilidad bajo alta concurrencia.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En P10 (1,200 hilos) se registraron 1,2</w:t>
      </w:r>
      <w:r>
        <w:t xml:space="preserve">12 errores (0.97%) de tipo </w:t>
      </w:r>
      <w:proofErr w:type="spellStart"/>
      <w:r>
        <w:t>BindException</w:t>
      </w:r>
      <w:proofErr w:type="spellEnd"/>
      <w:r>
        <w:t xml:space="preserve"> y </w:t>
      </w:r>
      <w:proofErr w:type="spellStart"/>
      <w:r>
        <w:t>ConnectTimeoutException</w:t>
      </w:r>
      <w:proofErr w:type="spellEnd"/>
      <w:r>
        <w:t xml:space="preserve">, atribuibles al agotamiento de puertos de red del equipo cliente de pruebas. </w:t>
      </w:r>
      <w:proofErr w:type="spellStart"/>
      <w:r>
        <w:t>Dynatrace</w:t>
      </w:r>
      <w:proofErr w:type="spellEnd"/>
      <w:r>
        <w:t xml:space="preserve"> confirma 0% de rechazos por parte del servidor en todos los niveles.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throughput</w:t>
      </w:r>
      <w:proofErr w:type="spellEnd"/>
      <w:r>
        <w:t xml:space="preserve"> máximo alcanzado fue de 411.90 </w:t>
      </w:r>
      <w:proofErr w:type="spellStart"/>
      <w:r>
        <w:t>req</w:t>
      </w:r>
      <w:proofErr w:type="spellEnd"/>
      <w:r>
        <w:t>/s en P10, equivalente a aproximadamente 24,714 transacciones por minuto.</w:t>
      </w:r>
    </w:p>
    <w:p w:rsidR="003F2AA7" w:rsidRDefault="003F2AA7">
      <w:pPr>
        <w:spacing w:after="180"/>
      </w:pPr>
    </w:p>
    <w:p w:rsidR="003F2AA7" w:rsidRDefault="00916213">
      <w:pPr>
        <w:pStyle w:val="Ttulo3"/>
        <w:spacing w:before="280" w:after="140"/>
      </w:pPr>
      <w:r>
        <w:rPr>
          <w:color w:val="333333"/>
        </w:rPr>
        <w:t>Pruebas de concurrencia TPS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X1 (84 TPS objetivo): Se completó sin errores con un TPS real de 62.82 y tiempo promedio de 0.744 segundo</w:t>
      </w:r>
      <w:r>
        <w:t>s.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X3 (252 TPS objetivo): Se completó con 16 errores de </w:t>
      </w:r>
      <w:proofErr w:type="spellStart"/>
      <w:r>
        <w:t>SocketException</w:t>
      </w:r>
      <w:proofErr w:type="spellEnd"/>
      <w:r>
        <w:t xml:space="preserve"> (0.02%) atribuibles al cliente de pruebas. TPS real alcanzado: 190.04. Tiempo promedio: 0.760 segundos.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X5 (420 TPS objetivo): Se completó sin errores con un TPS real de 294.27 y tiemp</w:t>
      </w:r>
      <w:r>
        <w:t>o promedio de 0.797 segundos.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Los TPS reales son inferiores a los objetivos en todos los niveles debido al tiempo de respuesta del servidor, que condiciona el </w:t>
      </w:r>
      <w:proofErr w:type="spellStart"/>
      <w:r>
        <w:t>throughput</w:t>
      </w:r>
      <w:proofErr w:type="spellEnd"/>
      <w:r>
        <w:t xml:space="preserve"> efectivo alcanzable desde el cliente.</w:t>
      </w:r>
    </w:p>
    <w:p w:rsidR="003F2AA7" w:rsidRDefault="003F2AA7">
      <w:pPr>
        <w:spacing w:after="180"/>
      </w:pPr>
    </w:p>
    <w:p w:rsidR="003F2AA7" w:rsidRDefault="00916213">
      <w:pPr>
        <w:pStyle w:val="Ttulo3"/>
        <w:spacing w:before="280" w:after="140"/>
      </w:pPr>
      <w:r>
        <w:rPr>
          <w:color w:val="333333"/>
        </w:rPr>
        <w:t>Comparación V1 vs V2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La versión V2 mantiene o m</w:t>
      </w:r>
      <w:r>
        <w:t>ejora los tiempos de respuesta de V1 en todos los niveles de prueba, confirmando que el cambio de campo en el response (</w:t>
      </w:r>
      <w:proofErr w:type="spellStart"/>
      <w:r>
        <w:t>middleName</w:t>
      </w:r>
      <w:proofErr w:type="spellEnd"/>
      <w:r>
        <w:t xml:space="preserve"> → </w:t>
      </w:r>
      <w:proofErr w:type="spellStart"/>
      <w:r>
        <w:t>secondLastName</w:t>
      </w:r>
      <w:proofErr w:type="spellEnd"/>
      <w:r>
        <w:t>) no generó regresión de rendimiento.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V2 presenta una mejora notable en P9: tiempo promedio de 0.91s (vs 1.04</w:t>
      </w:r>
      <w:r>
        <w:t>s en V1) y 0% de errores (vs 0.70% en V1).</w:t>
      </w:r>
    </w:p>
    <w:p w:rsidR="003F2AA7" w:rsidRDefault="003F2AA7">
      <w:pPr>
        <w:spacing w:after="180"/>
      </w:pPr>
    </w:p>
    <w:p w:rsidR="003F2AA7" w:rsidRDefault="00916213">
      <w:pPr>
        <w:pStyle w:val="Ttulo3"/>
        <w:spacing w:before="280" w:after="140"/>
      </w:pPr>
      <w:r>
        <w:rPr>
          <w:color w:val="333333"/>
        </w:rPr>
        <w:t>Recomendaciones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La API Business </w:t>
      </w:r>
      <w:proofErr w:type="spellStart"/>
      <w:r>
        <w:t>Account</w:t>
      </w:r>
      <w:proofErr w:type="spellEnd"/>
      <w:r>
        <w:t xml:space="preserve"> V2 se encuentra en condiciones óptimas para producción. No se identificaron puntos de quiebre funcionales en el servidor dentro de la totalidad de los niveles de carga ejec</w:t>
      </w:r>
      <w:r>
        <w:t>utados.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 xml:space="preserve">Se recomienda que todos los consumidores del servicio (proyectos </w:t>
      </w:r>
      <w:proofErr w:type="spellStart"/>
      <w:r>
        <w:t>cross</w:t>
      </w:r>
      <w:proofErr w:type="spellEnd"/>
      <w:r>
        <w:t xml:space="preserve">) actualicen sus contratos de integración para contemplar el campo </w:t>
      </w:r>
      <w:proofErr w:type="spellStart"/>
      <w:r>
        <w:t>secondLastName</w:t>
      </w:r>
      <w:proofErr w:type="spellEnd"/>
      <w:r>
        <w:t xml:space="preserve"> en lugar de </w:t>
      </w:r>
      <w:proofErr w:type="spellStart"/>
      <w:r>
        <w:t>middleName</w:t>
      </w:r>
      <w:proofErr w:type="spellEnd"/>
      <w:r>
        <w:t xml:space="preserve"> en el response </w:t>
      </w:r>
      <w:proofErr w:type="spellStart"/>
      <w:r>
        <w:t>body</w:t>
      </w:r>
      <w:proofErr w:type="spellEnd"/>
      <w:r>
        <w:t>.</w:t>
      </w:r>
    </w:p>
    <w:p w:rsidR="003F2AA7" w:rsidRDefault="00916213">
      <w:pPr>
        <w:pStyle w:val="Prrafodelista"/>
        <w:numPr>
          <w:ilvl w:val="0"/>
          <w:numId w:val="2"/>
        </w:numPr>
        <w:spacing w:after="80"/>
      </w:pPr>
      <w:r>
        <w:t>Los errores de infraestructura cliente observados en</w:t>
      </w:r>
      <w:r>
        <w:t xml:space="preserve"> P10 y X3 son consistentes con los registrados en la versión V1 y no representan un riesgo para el servicio en producción.</w:t>
      </w:r>
    </w:p>
    <w:p w:rsidR="003F2AA7" w:rsidRDefault="003F2AA7">
      <w:pPr>
        <w:spacing w:after="180"/>
      </w:pPr>
    </w:p>
    <w:p w:rsidR="003F2AA7" w:rsidRDefault="00916213">
      <w:pPr>
        <w:pStyle w:val="Ttulo1"/>
      </w:pPr>
      <w:r>
        <w:lastRenderedPageBreak/>
        <w:t>VIII. Anexos</w:t>
      </w:r>
    </w:p>
    <w:p w:rsidR="003F2AA7" w:rsidRDefault="00916213">
      <w:pPr>
        <w:spacing w:after="120"/>
      </w:pPr>
      <w:r>
        <w:rPr>
          <w:color w:val="666666"/>
        </w:rPr>
        <w:t>Datos elaborados para Uso Interno</w:t>
      </w:r>
    </w:p>
    <w:p w:rsidR="003F2AA7" w:rsidRDefault="00916213">
      <w:pPr>
        <w:spacing w:after="120"/>
      </w:pPr>
      <w:r>
        <w:rPr>
          <w:color w:val="666666"/>
        </w:rPr>
        <w:t>Datos elaborados para Uso Interno</w:t>
      </w:r>
    </w:p>
    <w:p w:rsidR="003F2AA7" w:rsidRDefault="00916213">
      <w:pPr>
        <w:spacing w:after="120"/>
      </w:pPr>
      <w:r>
        <w:rPr>
          <w:color w:val="666666"/>
        </w:rPr>
        <w:t>Datos elaborados para Uso Interno</w:t>
      </w:r>
    </w:p>
    <w:sectPr w:rsidR="003F2A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0D3ADC"/>
    <w:multiLevelType w:val="hybridMultilevel"/>
    <w:tmpl w:val="87CAE8AA"/>
    <w:lvl w:ilvl="0" w:tplc="52060328">
      <w:start w:val="1"/>
      <w:numFmt w:val="bullet"/>
      <w:lvlText w:val="●"/>
      <w:lvlJc w:val="left"/>
      <w:pPr>
        <w:ind w:left="720" w:hanging="360"/>
      </w:pPr>
    </w:lvl>
    <w:lvl w:ilvl="1" w:tplc="854AED8A">
      <w:start w:val="1"/>
      <w:numFmt w:val="bullet"/>
      <w:lvlText w:val="○"/>
      <w:lvlJc w:val="left"/>
      <w:pPr>
        <w:ind w:left="1440" w:hanging="360"/>
      </w:pPr>
    </w:lvl>
    <w:lvl w:ilvl="2" w:tplc="78303F52">
      <w:start w:val="1"/>
      <w:numFmt w:val="bullet"/>
      <w:lvlText w:val="■"/>
      <w:lvlJc w:val="left"/>
      <w:pPr>
        <w:ind w:left="2160" w:hanging="360"/>
      </w:pPr>
    </w:lvl>
    <w:lvl w:ilvl="3" w:tplc="99AA999E">
      <w:start w:val="1"/>
      <w:numFmt w:val="bullet"/>
      <w:lvlText w:val="●"/>
      <w:lvlJc w:val="left"/>
      <w:pPr>
        <w:ind w:left="2880" w:hanging="360"/>
      </w:pPr>
    </w:lvl>
    <w:lvl w:ilvl="4" w:tplc="CF08DCAE">
      <w:start w:val="1"/>
      <w:numFmt w:val="bullet"/>
      <w:lvlText w:val="○"/>
      <w:lvlJc w:val="left"/>
      <w:pPr>
        <w:ind w:left="3600" w:hanging="360"/>
      </w:pPr>
    </w:lvl>
    <w:lvl w:ilvl="5" w:tplc="8E363618">
      <w:start w:val="1"/>
      <w:numFmt w:val="bullet"/>
      <w:lvlText w:val="■"/>
      <w:lvlJc w:val="left"/>
      <w:pPr>
        <w:ind w:left="4320" w:hanging="360"/>
      </w:pPr>
    </w:lvl>
    <w:lvl w:ilvl="6" w:tplc="95CAD996">
      <w:start w:val="1"/>
      <w:numFmt w:val="bullet"/>
      <w:lvlText w:val="●"/>
      <w:lvlJc w:val="left"/>
      <w:pPr>
        <w:ind w:left="5040" w:hanging="360"/>
      </w:pPr>
    </w:lvl>
    <w:lvl w:ilvl="7" w:tplc="0B60B25C">
      <w:start w:val="1"/>
      <w:numFmt w:val="bullet"/>
      <w:lvlText w:val="●"/>
      <w:lvlJc w:val="left"/>
      <w:pPr>
        <w:ind w:left="5760" w:hanging="360"/>
      </w:pPr>
    </w:lvl>
    <w:lvl w:ilvl="8" w:tplc="18CCC7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BC1"/>
    <w:multiLevelType w:val="hybridMultilevel"/>
    <w:tmpl w:val="E6D4E1E2"/>
    <w:lvl w:ilvl="0" w:tplc="45044060">
      <w:start w:val="1"/>
      <w:numFmt w:val="bullet"/>
      <w:lvlText w:val="•"/>
      <w:lvlJc w:val="left"/>
      <w:pPr>
        <w:ind w:left="720" w:hanging="360"/>
      </w:pPr>
    </w:lvl>
    <w:lvl w:ilvl="1" w:tplc="1694A67C">
      <w:numFmt w:val="decimal"/>
      <w:lvlText w:val=""/>
      <w:lvlJc w:val="left"/>
    </w:lvl>
    <w:lvl w:ilvl="2" w:tplc="76D41974">
      <w:numFmt w:val="decimal"/>
      <w:lvlText w:val=""/>
      <w:lvlJc w:val="left"/>
    </w:lvl>
    <w:lvl w:ilvl="3" w:tplc="B74446C0">
      <w:numFmt w:val="decimal"/>
      <w:lvlText w:val=""/>
      <w:lvlJc w:val="left"/>
    </w:lvl>
    <w:lvl w:ilvl="4" w:tplc="B7B66C46">
      <w:numFmt w:val="decimal"/>
      <w:lvlText w:val=""/>
      <w:lvlJc w:val="left"/>
    </w:lvl>
    <w:lvl w:ilvl="5" w:tplc="1C6E2BEE">
      <w:numFmt w:val="decimal"/>
      <w:lvlText w:val=""/>
      <w:lvlJc w:val="left"/>
    </w:lvl>
    <w:lvl w:ilvl="6" w:tplc="8E38800E">
      <w:numFmt w:val="decimal"/>
      <w:lvlText w:val=""/>
      <w:lvlJc w:val="left"/>
    </w:lvl>
    <w:lvl w:ilvl="7" w:tplc="2D86F80A">
      <w:numFmt w:val="decimal"/>
      <w:lvlText w:val=""/>
      <w:lvlJc w:val="left"/>
    </w:lvl>
    <w:lvl w:ilvl="8" w:tplc="3CE453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AA7"/>
    <w:rsid w:val="003F2AA7"/>
    <w:rsid w:val="0091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14DD1B-B9B6-46D6-B74F-7E17AE65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1192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Gandero S.A.</Company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Llusco</dc:creator>
  <cp:lastModifiedBy>Fernando Llusco Blanco</cp:lastModifiedBy>
  <cp:revision>3</cp:revision>
  <dcterms:created xsi:type="dcterms:W3CDTF">2026-04-24T05:39:00Z</dcterms:created>
  <dcterms:modified xsi:type="dcterms:W3CDTF">2026-04-27T05:29:00Z</dcterms:modified>
</cp:coreProperties>
</file>