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Conducción y preparación del laboratorio IDE</w:t>
      </w:r>
    </w:p>
    <w:p>
      <w:pPr>
        <w:pStyle w:val="Subtitle"/>
      </w:pPr>
      <w:r>
        <w:t>Guía docente · Fernando Tentor</w:t>
      </w:r>
    </w:p>
    <w:p>
      <w:r>
        <w:t>Este material organiza tres franjas de cuatro horas para nueve estudiantes de distintas disciplinas. El propósito es que cada persona complete productos utilizables y comprenda la relación entre dato, servicio, catálogo y aplicación. La tarde del viernes queda reservada para Santiago Díaz.</w:t>
      </w:r>
    </w:p>
    <w:p>
      <w:pPr>
        <w:pStyle w:val="Heading1"/>
      </w:pPr>
      <w:r>
        <w:t>Ritmo y puntos de control</w:t>
      </w:r>
    </w:p>
    <w:p>
      <w:r>
        <w:t>Cada módulo tiene 200 minutos guiados y 40 de pausa y recuperación. Una distribución posible del margen es dos pausas de 10 minutos y 20 de resolución de bloqueos. El horario de inicio queda a confirmar; los tiempos son relativos a cada franja.</w:t>
      </w:r>
    </w:p>
    <w:tbl>
      <w:tblPr>
        <w:tblW w:type="auto" w:w="0"/>
        <w:tblLayout w:type="fixed"/>
        <w:tblLook w:firstColumn="1" w:firstRow="1" w:lastColumn="0" w:lastRow="0" w:noHBand="0" w:noVBand="1" w:val="04A0"/>
      </w:tblPr>
      <w:tblGrid>
        <w:gridCol w:w="2448"/>
        <w:gridCol w:w="3888"/>
        <w:gridCol w:w="3600"/>
      </w:tblGrid>
      <w:tr>
        <w:trPr>
          <w:cantSplit/>
          <w:tblHeader/>
        </w:trPr>
        <w:tc>
          <w:tcPr>
            <w:tcW w:type="dxa" w:w="2448"/>
            <w:tcMar>
              <w:top w:w="60" w:type="dxa"/>
              <w:left w:w="60" w:type="dxa"/>
              <w:bottom w:w="60" w:type="dxa"/>
              <w:right w:w="60" w:type="dxa"/>
            </w:tcMar>
            <w:shd w:fill="EDEFF0"/>
          </w:tcPr>
          <w:p>
            <w:pPr>
              <w:spacing w:after="40" w:before="40"/>
            </w:pPr>
            <w:r>
              <w:rPr>
                <w:b/>
                <w:sz w:val="20"/>
              </w:rPr>
              <w:t>Módulo</w:t>
            </w:r>
          </w:p>
        </w:tc>
        <w:tc>
          <w:tcPr>
            <w:tcW w:type="dxa" w:w="3888"/>
            <w:tcMar>
              <w:top w:w="60" w:type="dxa"/>
              <w:left w:w="60" w:type="dxa"/>
              <w:bottom w:w="60" w:type="dxa"/>
              <w:right w:w="60" w:type="dxa"/>
            </w:tcMar>
            <w:shd w:fill="EDEFF0"/>
          </w:tcPr>
          <w:p>
            <w:pPr>
              <w:spacing w:after="40" w:before="40"/>
            </w:pPr>
            <w:r>
              <w:rPr>
                <w:b/>
                <w:sz w:val="20"/>
              </w:rPr>
              <w:t>Punto de control</w:t>
            </w:r>
          </w:p>
        </w:tc>
        <w:tc>
          <w:tcPr>
            <w:tcW w:type="dxa" w:w="3600"/>
            <w:tcMar>
              <w:top w:w="60" w:type="dxa"/>
              <w:left w:w="60" w:type="dxa"/>
              <w:bottom w:w="60" w:type="dxa"/>
              <w:right w:w="60" w:type="dxa"/>
            </w:tcMar>
            <w:shd w:fill="EDEFF0"/>
          </w:tcPr>
          <w:p>
            <w:pPr>
              <w:spacing w:after="40" w:before="40"/>
            </w:pPr>
            <w:r>
              <w:rPr>
                <w:b/>
                <w:sz w:val="20"/>
              </w:rPr>
              <w:t>Evidencia mínima</w:t>
            </w:r>
          </w:p>
        </w:tc>
      </w:tr>
      <w:tr>
        <w:trPr>
          <w:cantSplit/>
        </w:trPr>
        <w:tc>
          <w:tcPr>
            <w:tcW w:type="dxa" w:w="2448"/>
            <w:tcMar>
              <w:top w:w="60" w:type="dxa"/>
              <w:left w:w="60" w:type="dxa"/>
              <w:bottom w:w="60" w:type="dxa"/>
              <w:right w:w="60" w:type="dxa"/>
            </w:tcMar>
          </w:tcPr>
          <w:p>
            <w:pPr>
              <w:spacing w:after="40" w:before="40"/>
            </w:pPr>
            <w:r>
              <w:rPr>
                <w:b w:val="0"/>
                <w:sz w:val="20"/>
              </w:rPr>
              <w:t>1</w:t>
            </w:r>
          </w:p>
        </w:tc>
        <w:tc>
          <w:tcPr>
            <w:tcW w:type="dxa" w:w="3888"/>
            <w:tcMar>
              <w:top w:w="60" w:type="dxa"/>
              <w:left w:w="60" w:type="dxa"/>
              <w:bottom w:w="60" w:type="dxa"/>
              <w:right w:w="60" w:type="dxa"/>
            </w:tcMar>
          </w:tcPr>
          <w:p>
            <w:pPr>
              <w:spacing w:after="40" w:before="40"/>
            </w:pPr>
            <w:r>
              <w:rPr>
                <w:b w:val="0"/>
                <w:sz w:val="20"/>
              </w:rPr>
              <w:t>WFS guardado y raster consultado</w:t>
            </w:r>
          </w:p>
        </w:tc>
        <w:tc>
          <w:tcPr>
            <w:tcW w:type="dxa" w:w="3600"/>
            <w:tcMar>
              <w:top w:w="60" w:type="dxa"/>
              <w:left w:w="60" w:type="dxa"/>
              <w:bottom w:w="60" w:type="dxa"/>
              <w:right w:w="60" w:type="dxa"/>
            </w:tcMar>
          </w:tcPr>
          <w:p>
            <w:pPr>
              <w:spacing w:after="40" w:before="40"/>
            </w:pPr>
            <w:r>
              <w:rPr>
                <w:b w:val="0"/>
                <w:sz w:val="20"/>
              </w:rPr>
              <w:t>Proyecto que reabre, GeoPackage y ficha de fuentes</w:t>
            </w:r>
          </w:p>
        </w:tc>
      </w:tr>
      <w:tr>
        <w:trPr>
          <w:cantSplit/>
        </w:trPr>
        <w:tc>
          <w:tcPr>
            <w:tcW w:type="dxa" w:w="2448"/>
            <w:tcMar>
              <w:top w:w="60" w:type="dxa"/>
              <w:left w:w="60" w:type="dxa"/>
              <w:bottom w:w="60" w:type="dxa"/>
              <w:right w:w="60" w:type="dxa"/>
            </w:tcMar>
          </w:tcPr>
          <w:p>
            <w:pPr>
              <w:spacing w:after="40" w:before="40"/>
            </w:pPr>
            <w:r>
              <w:rPr>
                <w:b w:val="0"/>
                <w:sz w:val="20"/>
              </w:rPr>
              <w:t>2</w:t>
            </w:r>
          </w:p>
        </w:tc>
        <w:tc>
          <w:tcPr>
            <w:tcW w:type="dxa" w:w="3888"/>
            <w:tcMar>
              <w:top w:w="60" w:type="dxa"/>
              <w:left w:w="60" w:type="dxa"/>
              <w:bottom w:w="60" w:type="dxa"/>
              <w:right w:w="60" w:type="dxa"/>
            </w:tcMar>
          </w:tcPr>
          <w:p>
            <w:pPr>
              <w:spacing w:after="40" w:before="40"/>
            </w:pPr>
            <w:r>
              <w:rPr>
                <w:b w:val="0"/>
                <w:sz w:val="20"/>
              </w:rPr>
              <w:t>Otro equipo consume la publicación</w:t>
            </w:r>
          </w:p>
        </w:tc>
        <w:tc>
          <w:tcPr>
            <w:tcW w:type="dxa" w:w="3600"/>
            <w:tcMar>
              <w:top w:w="60" w:type="dxa"/>
              <w:left w:w="60" w:type="dxa"/>
              <w:bottom w:w="60" w:type="dxa"/>
              <w:right w:w="60" w:type="dxa"/>
            </w:tcMar>
          </w:tcPr>
          <w:p>
            <w:pPr>
              <w:spacing w:after="40" w:before="40"/>
            </w:pPr>
            <w:r>
              <w:rPr>
                <w:b w:val="0"/>
                <w:sz w:val="20"/>
              </w:rPr>
              <w:t>Tabla WFS, imagen WMS, consulta WCS y metadatos</w:t>
            </w:r>
          </w:p>
        </w:tc>
      </w:tr>
      <w:tr>
        <w:trPr>
          <w:cantSplit/>
        </w:trPr>
        <w:tc>
          <w:tcPr>
            <w:tcW w:type="dxa" w:w="2448"/>
            <w:tcMar>
              <w:top w:w="60" w:type="dxa"/>
              <w:left w:w="60" w:type="dxa"/>
              <w:bottom w:w="60" w:type="dxa"/>
              <w:right w:w="60" w:type="dxa"/>
            </w:tcMar>
          </w:tcPr>
          <w:p>
            <w:pPr>
              <w:spacing w:after="40" w:before="40"/>
            </w:pPr>
            <w:r>
              <w:rPr>
                <w:b w:val="0"/>
                <w:sz w:val="20"/>
              </w:rPr>
              <w:t>3</w:t>
            </w:r>
          </w:p>
        </w:tc>
        <w:tc>
          <w:tcPr>
            <w:tcW w:type="dxa" w:w="3888"/>
            <w:tcMar>
              <w:top w:w="60" w:type="dxa"/>
              <w:left w:w="60" w:type="dxa"/>
              <w:bottom w:w="60" w:type="dxa"/>
              <w:right w:w="60" w:type="dxa"/>
            </w:tcMar>
          </w:tcPr>
          <w:p>
            <w:pPr>
              <w:spacing w:after="40" w:before="40"/>
            </w:pPr>
            <w:r>
              <w:rPr>
                <w:b w:val="0"/>
                <w:sz w:val="20"/>
              </w:rPr>
              <w:t>Un tercero abre los productos</w:t>
            </w:r>
          </w:p>
        </w:tc>
        <w:tc>
          <w:tcPr>
            <w:tcW w:type="dxa" w:w="3600"/>
            <w:tcMar>
              <w:top w:w="60" w:type="dxa"/>
              <w:left w:w="60" w:type="dxa"/>
              <w:bottom w:w="60" w:type="dxa"/>
              <w:right w:w="60" w:type="dxa"/>
            </w:tcMar>
          </w:tcPr>
          <w:p>
            <w:pPr>
              <w:spacing w:after="40" w:before="40"/>
            </w:pPr>
            <w:r>
              <w:rPr>
                <w:b w:val="0"/>
                <w:sz w:val="20"/>
              </w:rPr>
              <w:t>Mapa Pages, visor PMTiles y App o contingencia documentada</w:t>
            </w:r>
          </w:p>
        </w:tc>
      </w:tr>
    </w:tbl>
    <w:p>
      <w:r>
        <w:t>Mostrar una operación en cinco a diez minutos, dar tiempo de reproducción y verificar antes de seguir. Usar códigos a01 a a09 para los nombres de tablas. Si se trabaja en parejas, alternar el teclado y conservar evidencia individual. No evaluar memoria de sintaxis.</w:t>
      </w:r>
    </w:p>
    <w:p>
      <w:pPr>
        <w:pStyle w:val="Heading1"/>
      </w:pPr>
      <w:r>
        <w:t>Continuidad con el material previo</w:t>
      </w:r>
    </w:p>
    <w:p>
      <w:r>
        <w:t>Los Temas 1 y 2 sostienen PostGIS y la elección WMS/WFS/WCS; el Tema 3 sostiene GeoServer, catálogo y clientes; el Tema 4 sostiene COG, PMTiles, almacenamiento y MapLibre. Se reutilizan región y parámetros de scripts/01_sentinel2_cambios.js del curso de teledetección.</w:t>
      </w:r>
    </w:p>
    <w:p>
      <w:r>
        <w:t>La propuesta original de división de contenidos no reflejaba todavía estas tres franjas. Esta guía sigue la indicación actual: jueves completo y viernes por la mañana para Fernando. La revisión durante la clase es un control de avance; la entrega final de esta práctica es el viernes 23 de octubre de 2026, hasta las 23:59, hora de Argentina.</w:t>
      </w:r>
    </w:p>
    <w:p>
      <w:pPr>
        <w:pStyle w:val="Heading1"/>
      </w:pPr>
      <w:r>
        <w:t>Preparación anterior a la jornada</w:t>
      </w:r>
    </w:p>
    <w:p>
      <w:r>
        <w:t>Probar cuentas y publicación de una App; confirmar QGIS y qgis2web; descargar imágenes Docker; ensayar el servidor desde un segundo equipo; preparar URLs del bucket; ejecutar el script Earth Engine y guardar capturas reales. Usar VALIDACION.txt para distinguir lo comprobado de lo pendiente.</w:t>
      </w:r>
    </w:p>
    <w:p>
      <w:r>
        <w:t>El material contiene datos reales de respaldo y ejemplos ficticios señalados. No contiene resultados numéricos inventados de la ejecución remota de Earth Engine.</w:t>
      </w:r>
    </w:p>
    <w:p>
      <w:pPr>
        <w:pStyle w:val="Heading1"/>
        <w:pageBreakBefore/>
      </w:pPr>
      <w:r>
        <w:t>Preparar Docker en el equipo docente</w:t>
      </w:r>
    </w:p>
    <w:p>
      <w:r>
        <w:t>1. Iniciar Docker Desktop con contenedores Linux. Abrir PowerShell en Practica_IDE_2026/laboratorio. Ejecutar docker compose config --quiet para validar la configuración.</w:t>
      </w:r>
    </w:p>
    <w:p>
      <w:r>
        <w:t>2. Ejecutar ./iniciar_local.ps1. El archivo inicia PostGIS y GeoServer con puertos vinculados a localhost. Si PowerShell bloquea scripts, ejecutar los comandos de compose manualmente; no hace falta cambiar permanentemente la política del sistema.</w:t>
      </w:r>
    </w:p>
    <w:p>
      <w:r>
        <w:t>3. Revisar docker compose ps. Para diagnóstico usar docker compose logs --tail 80 geoserver y docker compose logs --tail 80 postgis. El primer arranque puede tardar por la descarga y preparación.</w:t>
      </w:r>
    </w:p>
    <w:p>
      <w:r>
        <w:t xml:space="preserve">4. Abrir </w:t>
      </w:r>
      <w:hyperlink r:id="rIdUrl1">
        <w:r>
          <w:t xml:space="preserve">http://localhost:8080/geoserver</w:t>
        </w:r>
      </w:hyperlink>
      <w:r>
        <w:t xml:space="preserve">. En un directorio nuevo, usuario admin y clave geoserver. PostGIS usa base, usuario y contraseña postgres.</w:t>
      </w:r>
    </w:p>
    <w:p>
      <w:r>
        <w:t>5. Publicar sitios_docente y b04_diamante siguiendo M2. El directorio datos del paquete se monta en /datos dentro de GeoServer. La ruta de cobertura es file:/datos/sentinel2_B04_recorte_cog.tif.</w:t>
      </w:r>
    </w:p>
    <w:p>
      <w:r>
        <w:t>6. En la configuración WFS seleccionar nivel Basic para el ejercicio de lectura. La modificación demostrativa se hace desde QGIS conectado a PostGIS.</w:t>
      </w:r>
    </w:p>
    <w:tbl>
      <w:tblPr>
        <w:tblW w:type="auto" w:w="0"/>
        <w:tblLayout w:type="fixed"/>
        <w:tblLook w:firstColumn="1" w:firstRow="1" w:lastColumn="0" w:lastRow="0" w:noHBand="0" w:noVBand="1" w:val="04A0"/>
      </w:tblPr>
      <w:tblGrid>
        <w:gridCol w:w="2448"/>
        <w:gridCol w:w="3888"/>
        <w:gridCol w:w="3600"/>
      </w:tblGrid>
      <w:tr>
        <w:trPr>
          <w:cantSplit/>
          <w:tblHeader/>
        </w:trPr>
        <w:tc>
          <w:tcPr>
            <w:tcW w:type="dxa" w:w="2448"/>
            <w:tcMar>
              <w:top w:w="60" w:type="dxa"/>
              <w:left w:w="60" w:type="dxa"/>
              <w:bottom w:w="60" w:type="dxa"/>
              <w:right w:w="60" w:type="dxa"/>
            </w:tcMar>
            <w:shd w:fill="EDEFF0"/>
          </w:tcPr>
          <w:p>
            <w:pPr>
              <w:spacing w:after="40" w:before="40"/>
            </w:pPr>
            <w:r>
              <w:rPr>
                <w:b/>
                <w:sz w:val="20"/>
              </w:rPr>
              <w:t>Conexión</w:t>
            </w:r>
          </w:p>
        </w:tc>
        <w:tc>
          <w:tcPr>
            <w:tcW w:type="dxa" w:w="3888"/>
            <w:tcMar>
              <w:top w:w="60" w:type="dxa"/>
              <w:left w:w="60" w:type="dxa"/>
              <w:bottom w:w="60" w:type="dxa"/>
              <w:right w:w="60" w:type="dxa"/>
            </w:tcMar>
            <w:shd w:fill="EDEFF0"/>
          </w:tcPr>
          <w:p>
            <w:pPr>
              <w:spacing w:after="40" w:before="40"/>
            </w:pPr>
            <w:r>
              <w:rPr>
                <w:b/>
                <w:sz w:val="20"/>
              </w:rPr>
              <w:t>Servidor</w:t>
            </w:r>
          </w:p>
        </w:tc>
        <w:tc>
          <w:tcPr>
            <w:tcW w:type="dxa" w:w="3600"/>
            <w:tcMar>
              <w:top w:w="60" w:type="dxa"/>
              <w:left w:w="60" w:type="dxa"/>
              <w:bottom w:w="60" w:type="dxa"/>
              <w:right w:w="60" w:type="dxa"/>
            </w:tcMar>
            <w:shd w:fill="EDEFF0"/>
          </w:tcPr>
          <w:p>
            <w:pPr>
              <w:spacing w:after="40" w:before="40"/>
            </w:pPr>
            <w:r>
              <w:rPr>
                <w:b/>
                <w:sz w:val="20"/>
              </w:rPr>
              <w:t>Puerto</w:t>
            </w:r>
          </w:p>
        </w:tc>
      </w:tr>
      <w:tr>
        <w:trPr>
          <w:cantSplit/>
        </w:trPr>
        <w:tc>
          <w:tcPr>
            <w:tcW w:type="dxa" w:w="2448"/>
            <w:tcMar>
              <w:top w:w="60" w:type="dxa"/>
              <w:left w:w="60" w:type="dxa"/>
              <w:bottom w:w="60" w:type="dxa"/>
              <w:right w:w="60" w:type="dxa"/>
            </w:tcMar>
          </w:tcPr>
          <w:p>
            <w:pPr>
              <w:spacing w:after="40" w:before="40"/>
            </w:pPr>
            <w:r>
              <w:rPr>
                <w:b w:val="0"/>
                <w:sz w:val="20"/>
              </w:rPr>
              <w:t>QGIS docente a PostgreSQL</w:t>
            </w:r>
          </w:p>
        </w:tc>
        <w:tc>
          <w:tcPr>
            <w:tcW w:type="dxa" w:w="3888"/>
            <w:tcMar>
              <w:top w:w="60" w:type="dxa"/>
              <w:left w:w="60" w:type="dxa"/>
              <w:bottom w:w="60" w:type="dxa"/>
              <w:right w:w="60" w:type="dxa"/>
            </w:tcMar>
          </w:tcPr>
          <w:p>
            <w:pPr>
              <w:spacing w:after="40" w:before="40"/>
            </w:pPr>
            <w:r>
              <w:rPr>
                <w:b w:val="0"/>
                <w:sz w:val="20"/>
              </w:rPr>
              <w:t>127.0.0.1</w:t>
            </w:r>
          </w:p>
        </w:tc>
        <w:tc>
          <w:tcPr>
            <w:tcW w:type="dxa" w:w="3600"/>
            <w:tcMar>
              <w:top w:w="60" w:type="dxa"/>
              <w:left w:w="60" w:type="dxa"/>
              <w:bottom w:w="60" w:type="dxa"/>
              <w:right w:w="60" w:type="dxa"/>
            </w:tcMar>
          </w:tcPr>
          <w:p>
            <w:pPr>
              <w:spacing w:after="40" w:before="40"/>
            </w:pPr>
            <w:r>
              <w:rPr>
                <w:b w:val="0"/>
                <w:sz w:val="20"/>
              </w:rPr>
              <w:t>5433</w:t>
            </w:r>
          </w:p>
        </w:tc>
      </w:tr>
      <w:tr>
        <w:trPr>
          <w:cantSplit/>
        </w:trPr>
        <w:tc>
          <w:tcPr>
            <w:tcW w:type="dxa" w:w="2448"/>
            <w:tcMar>
              <w:top w:w="60" w:type="dxa"/>
              <w:left w:w="60" w:type="dxa"/>
              <w:bottom w:w="60" w:type="dxa"/>
              <w:right w:w="60" w:type="dxa"/>
            </w:tcMar>
          </w:tcPr>
          <w:p>
            <w:pPr>
              <w:spacing w:after="40" w:before="40"/>
            </w:pPr>
            <w:r>
              <w:rPr>
                <w:b w:val="0"/>
                <w:sz w:val="20"/>
              </w:rPr>
              <w:t>QGIS alumno a PostgreSQL</w:t>
            </w:r>
          </w:p>
        </w:tc>
        <w:tc>
          <w:tcPr>
            <w:tcW w:type="dxa" w:w="3888"/>
            <w:tcMar>
              <w:top w:w="60" w:type="dxa"/>
              <w:left w:w="60" w:type="dxa"/>
              <w:bottom w:w="60" w:type="dxa"/>
              <w:right w:w="60" w:type="dxa"/>
            </w:tcMar>
          </w:tcPr>
          <w:p>
            <w:pPr>
              <w:spacing w:after="40" w:before="40"/>
            </w:pPr>
            <w:r>
              <w:rPr>
                <w:b w:val="0"/>
                <w:sz w:val="20"/>
              </w:rPr>
              <w:t>IP del docente</w:t>
            </w:r>
          </w:p>
        </w:tc>
        <w:tc>
          <w:tcPr>
            <w:tcW w:type="dxa" w:w="3600"/>
            <w:tcMar>
              <w:top w:w="60" w:type="dxa"/>
              <w:left w:w="60" w:type="dxa"/>
              <w:bottom w:w="60" w:type="dxa"/>
              <w:right w:w="60" w:type="dxa"/>
            </w:tcMar>
          </w:tcPr>
          <w:p>
            <w:pPr>
              <w:spacing w:after="40" w:before="40"/>
            </w:pPr>
            <w:r>
              <w:rPr>
                <w:b w:val="0"/>
                <w:sz w:val="20"/>
              </w:rPr>
              <w:t>5433</w:t>
            </w:r>
          </w:p>
        </w:tc>
      </w:tr>
      <w:tr>
        <w:trPr>
          <w:cantSplit/>
        </w:trPr>
        <w:tc>
          <w:tcPr>
            <w:tcW w:type="dxa" w:w="2448"/>
            <w:tcMar>
              <w:top w:w="60" w:type="dxa"/>
              <w:left w:w="60" w:type="dxa"/>
              <w:bottom w:w="60" w:type="dxa"/>
              <w:right w:w="60" w:type="dxa"/>
            </w:tcMar>
          </w:tcPr>
          <w:p>
            <w:pPr>
              <w:spacing w:after="40" w:before="40"/>
            </w:pPr>
            <w:r>
              <w:rPr>
                <w:b w:val="0"/>
                <w:sz w:val="20"/>
              </w:rPr>
              <w:t>GeoServer a PostgreSQL</w:t>
            </w:r>
          </w:p>
        </w:tc>
        <w:tc>
          <w:tcPr>
            <w:tcW w:type="dxa" w:w="3888"/>
            <w:tcMar>
              <w:top w:w="60" w:type="dxa"/>
              <w:left w:w="60" w:type="dxa"/>
              <w:bottom w:w="60" w:type="dxa"/>
              <w:right w:w="60" w:type="dxa"/>
            </w:tcMar>
          </w:tcPr>
          <w:p>
            <w:pPr>
              <w:spacing w:after="40" w:before="40"/>
            </w:pPr>
            <w:r>
              <w:rPr>
                <w:b w:val="0"/>
                <w:sz w:val="20"/>
              </w:rPr>
              <w:t>postgis</w:t>
            </w:r>
          </w:p>
        </w:tc>
        <w:tc>
          <w:tcPr>
            <w:tcW w:type="dxa" w:w="3600"/>
            <w:tcMar>
              <w:top w:w="60" w:type="dxa"/>
              <w:left w:w="60" w:type="dxa"/>
              <w:bottom w:w="60" w:type="dxa"/>
              <w:right w:w="60" w:type="dxa"/>
            </w:tcMar>
          </w:tcPr>
          <w:p>
            <w:pPr>
              <w:spacing w:after="40" w:before="40"/>
            </w:pPr>
            <w:r>
              <w:rPr>
                <w:b w:val="0"/>
                <w:sz w:val="20"/>
              </w:rPr>
              <w:t>5432</w:t>
            </w:r>
          </w:p>
        </w:tc>
      </w:tr>
      <w:tr>
        <w:trPr>
          <w:cantSplit/>
        </w:trPr>
        <w:tc>
          <w:tcPr>
            <w:tcW w:type="dxa" w:w="2448"/>
            <w:tcMar>
              <w:top w:w="60" w:type="dxa"/>
              <w:left w:w="60" w:type="dxa"/>
              <w:bottom w:w="60" w:type="dxa"/>
              <w:right w:w="60" w:type="dxa"/>
            </w:tcMar>
          </w:tcPr>
          <w:p>
            <w:pPr>
              <w:spacing w:after="40" w:before="40"/>
            </w:pPr>
            <w:r>
              <w:rPr>
                <w:b w:val="0"/>
                <w:sz w:val="20"/>
              </w:rPr>
              <w:t>Navegador a GeoServer</w:t>
            </w:r>
          </w:p>
        </w:tc>
        <w:tc>
          <w:tcPr>
            <w:tcW w:type="dxa" w:w="3888"/>
            <w:tcMar>
              <w:top w:w="60" w:type="dxa"/>
              <w:left w:w="60" w:type="dxa"/>
              <w:bottom w:w="60" w:type="dxa"/>
              <w:right w:w="60" w:type="dxa"/>
            </w:tcMar>
          </w:tcPr>
          <w:p>
            <w:pPr>
              <w:spacing w:after="40" w:before="40"/>
            </w:pPr>
            <w:r>
              <w:rPr>
                <w:b w:val="0"/>
                <w:sz w:val="20"/>
              </w:rPr>
              <w:t>localhost o IP docente</w:t>
            </w:r>
          </w:p>
        </w:tc>
        <w:tc>
          <w:tcPr>
            <w:tcW w:type="dxa" w:w="3600"/>
            <w:tcMar>
              <w:top w:w="60" w:type="dxa"/>
              <w:left w:w="60" w:type="dxa"/>
              <w:bottom w:w="60" w:type="dxa"/>
              <w:right w:w="60" w:type="dxa"/>
            </w:tcMar>
          </w:tcPr>
          <w:p>
            <w:pPr>
              <w:spacing w:after="40" w:before="40"/>
            </w:pPr>
            <w:r>
              <w:rPr>
                <w:b w:val="0"/>
                <w:sz w:val="20"/>
              </w:rPr>
              <w:t>8080</w:t>
            </w:r>
          </w:p>
        </w:tc>
      </w:tr>
    </w:tbl>
    <w:p>
      <w:r>
        <w:t>Los volúmenes conservan datos y configuración. docker compose stop detiene el laboratorio sin borrar el trabajo. docker compose start lo vuelve a iniciar con los enlaces de puertos ya creados. No usar down -v durante el curso.</w:t>
      </w:r>
    </w:p>
    <w:p>
      <w:pPr>
        <w:pStyle w:val="Heading1"/>
      </w:pPr>
      <w:r>
        <w:t>Compartir en la red del aula</w:t>
      </w:r>
    </w:p>
    <w:p>
      <w:r>
        <w:t>Ejecutar ./iniciar_aula.ps1 en la misma carpeta. El script usa LAB_BIND=0.0.0.0 y recrea los enlaces de puertos para permitir acceso desde la red. No modifica el firewall. Probar desde otro equipo la IP del adaptador conectado al aula, no una IP interna de Docker.</w:t>
      </w:r>
    </w:p>
    <w:p>
      <w:r>
        <w:t>La red debe permitir comunicación entre clientes. Si el Wi‑Fi los aísla, coordinar otra red local antes de la jornada. Permitir solamente los puertos del laboratorio en la red privada que se use para clase. No publicar esta instalación con credenciales de práctica en Internet.</w:t>
      </w:r>
    </w:p>
    <w:p>
      <w:pPr>
        <w:pStyle w:val="Heading1"/>
        <w:pageBreakBefore/>
      </w:pPr>
      <w:r>
        <w:t>Preparar GeoNetwork</w:t>
      </w:r>
    </w:p>
    <w:p>
      <w:r>
        <w:t>El catálogo es un perfil opcional para evitar que el arranque principal dependa de él. Ejecutar ./iniciar_catalogo.ps1. Se añaden GeoNetwork 4.4.12 y Elasticsearch 8.19.13, además de la base geonetwork creada por el SQL inicial.</w:t>
      </w:r>
    </w:p>
    <w:p>
      <w:r>
        <w:t xml:space="preserve">1. Esperar el arranque y abrir </w:t>
      </w:r>
      <w:hyperlink r:id="rIdUrl2">
        <w:r>
          <w:t xml:space="preserve">http://localhost:8081/geonetwork</w:t>
        </w:r>
      </w:hyperlink>
      <w:r>
        <w:t xml:space="preserve">. Credenciales iniciales: admin / admin.</w:t>
      </w:r>
    </w:p>
    <w:p>
      <w:r>
        <w:t>2. Revisar Administración &gt; Metadatos y plantillas. Cargar las plantillas del esquema ISO disponible si todavía no aparecen al crear un registro.</w:t>
      </w:r>
    </w:p>
    <w:p>
      <w:r>
        <w:t>3. Crear un registro de ensayo titulado Sitios didácticos de Diamante. Completar productor del ejemplo, fecha, resumen, extensión, SRC, origen, restricciones y enlaces WMS/WFS.</w:t>
      </w:r>
    </w:p>
    <w:p>
      <w:r>
        <w:t>4. Guardar, revisar validación y permitir visualización al grupo público de lectura. Buscar el registro desde una sesión sin acceso administrativo.</w:t>
      </w:r>
    </w:p>
    <w:p>
      <w:r>
        <w:t>5. Exportar el registro desde el catálogo y conservarlo con la entrega docente. Si los alumnos no completan el catálogo, aceptar la ficha equivalente y registrar qué se demostró.</w:t>
      </w:r>
    </w:p>
    <w:p>
      <w:r>
        <w:t>GeoNetwork usa PostgreSQL para sus registros y Elasticsearch para el índice. Verificar memoria disponible antes de ejecutar todo junto. Si Elasticsearch no inicia, revisar sus logs y los recursos de Docker; continuar temporalmente con la ficha de metadatos.</w:t>
      </w:r>
    </w:p>
    <w:p>
      <w:r>
        <w:t>Si se creó el volumen de PostGIS antes de añadir el SQL de inicialización, ese SQL no se vuelve a ejecutar solo. Comprobar la base geonetwork antes de iniciar el catálogo y crearla explícitamente si falta, sin borrar el volumen.</w:t>
      </w:r>
    </w:p>
    <w:p>
      <w:pPr>
        <w:pStyle w:val="Heading1"/>
      </w:pPr>
      <w:r>
        <w:t>Ejercicio de actualización de fuente</w:t>
      </w:r>
    </w:p>
    <w:p>
      <w:r>
        <w:t>Con QGIS conectado a PostGIS, cambiar el nombre de uno de los puntos de sitios_docente. Guardar y pedir que los alumnos vuelvan a consultar WFS. Comparar con una copia GeoPackage exportada antes del cambio. Restaurar el nombre al terminar. La prueba distingue fuente viva, servicio y copia, sin introducir WFS‑T.</w:t>
      </w:r>
    </w:p>
    <w:p>
      <w:pPr>
        <w:pStyle w:val="Heading1"/>
      </w:pPr>
      <w:r>
        <w:t>Dos precisiones para la explicación</w:t>
      </w:r>
    </w:p>
    <w:p>
      <w:r>
        <w:t>Los servicios no requieren necesariamente una base de datos: GeoServer también publica archivos, como el GeoTIFF de este laboratorio. Y WFS permite análisis vectorial, mientras WCS ofrece valores de coberturas; no conviene decir que WCS es el único servicio que permite calcular.</w:t>
      </w:r>
    </w:p>
    <w:p>
      <w:r>
        <w:t>Un mapa web alojado en Pages no mantiene accesible el GeoServer local. Para la publicación pública del alumno se usan capas exportadas y recursos HTTPS alcanzables por los visitantes.</w:t>
      </w:r>
    </w:p>
    <w:p>
      <w:pPr>
        <w:pStyle w:val="Heading1"/>
        <w:pageBreakBefore/>
      </w:pPr>
      <w:r>
        <w:t>Preparar almacenamiento y teselas</w:t>
      </w:r>
    </w:p>
    <w:p>
      <w:r>
        <w:t>Usar un bucket docente de práctica, con objetos pequeños y sin datos personales. La configuración del almacenamiento depende del proyecto real; el paquete no modifica ninguna cuenta Cloud automáticamente.</w:t>
      </w:r>
    </w:p>
    <w:p>
      <w:r>
        <w:t>1. Subir datos/sentinel2_B04_recorte_cog.tif y web/maplibre/zonas.pmtiles desde Cloud Storage. Conservar nombres sencillos y copiar las URLs de los objetos, no las del panel administrativo.</w:t>
      </w:r>
    </w:p>
    <w:p>
      <w:r>
        <w:t>2. Habilitar lectura anónima de esos ejemplos cuando las políticas del proyecto lo permitan. Si existe una política de prevención de acceso público, no intentar eludirla: usar el alojamiento alternativo preparado.</w:t>
      </w:r>
    </w:p>
    <w:p>
      <w:r>
        <w:t>3. En Cloud Shell, aplicar el archivo laboratorio/cors_bucket.json al bucket con gcloud storage buckets update gs://NOMBRE_DEL_BUCKET --cors-file=cors_bucket.json. Reemplazar NOMBRE_DEL_BUCKET por el nombre real. El comando modifica CORS, no permisos de lectura.</w:t>
      </w:r>
    </w:p>
    <w:p>
      <w:r>
        <w:t>4. Desde otro navegador, comprobar el objeto. En Network verificar Range y 206 con Content‑Range. Abrir el COG desde QGIS y el PMTiles desde el visor publicado.</w:t>
      </w:r>
    </w:p>
    <w:p>
      <w:r>
        <w:t>5. Guardar las dos URLs en la ficha docente y distribuirlas antes del módulo 3. La lectura de almacenamiento puede generar cargos; limitarse a estos archivos de clase y revisar el proyecto utilizado.</w:t>
      </w:r>
    </w:p>
    <w:p>
      <w:r>
        <w:t>Para conversión, ejecutar scripts/convertir_datos.cmd desde OSGeo4W Shell. GDAL debe incluir el controlador PMTiles con escritura. El archivo usa capa interna zonas y niveles 8 a 14. El GeoPackage conserva las geometrías originales: el PMTiles es un producto de visualización que puede fragmentarlas entre teselas.</w:t>
      </w:r>
    </w:p>
    <w:p>
      <w:pPr>
        <w:pStyle w:val="Heading1"/>
      </w:pPr>
      <w:r>
        <w:t>Vista previa del visor</w:t>
      </w:r>
    </w:p>
    <w:p>
      <w:r>
        <w:t xml:space="preserve">Desde una instalación de Python 3, ejecutar python scripts/servir_web.py y abrir </w:t>
      </w:r>
      <w:hyperlink r:id="rIdUrl3">
        <w:r>
          <w:t xml:space="preserve">http://localhost:8090/maplibre/</w:t>
        </w:r>
      </w:hyperlink>
      <w:r>
        <w:t xml:space="preserve">. El servidor incluido implementa solicitudes de rangos para el ensayo local. Se detiene con Ctrl+C y no necesita permisos de administrador.</w:t>
      </w:r>
    </w:p>
    <w:p>
      <w:r>
        <w:t>Si se usa GitHub Pages para el PMTiles, comprobar que el servidor entregue los rangos esperados. La ruta del bucket docente es la alternativa prevista. Las bibliotecas y el fondo del visor requieren Internet aun cuando el PMTiles esté guardado localmente.</w:t>
      </w:r>
    </w:p>
    <w:p>
      <w:r>
        <w:t>La subida de COG se muestra aquí y su consumo se practica en QGIS. La plantilla MapLibre se dedica a PMTiles; no presenta el COG como si MapLibre lo renderizara de forma nativa.</w:t>
      </w:r>
    </w:p>
    <w:p>
      <w:pPr>
        <w:pStyle w:val="Heading1"/>
        <w:pageBreakBefore/>
      </w:pPr>
      <w:r>
        <w:t>Ensayar Earth Engine y la entrega web</w:t>
      </w:r>
    </w:p>
    <w:p>
      <w:r>
        <w:t>1. Ejecutar scripts/00_prueba_acceso.js con el proyecto docente. Después ejecutar 01_app_sentinel2.js completo. Confirmar disponibilidad en ambas ventanas y que la capa de cambio tenga datos.</w:t>
      </w:r>
    </w:p>
    <w:p>
      <w:r>
        <w:t>2. Probar los cinco elementos del selector, la leyenda y Volver al área. Guardar capturas reales. El número de gránulos no es la cantidad de días únicos ni el número de observaciones válidas en cada píxel.</w:t>
      </w:r>
    </w:p>
    <w:p>
      <w:r>
        <w:t>3. Publicar una App docente y abrirla sin sesión. Revisar permisos del proyecto y de cualquier asset que se agregue a la variante. Guardar la URL para la contingencia de cuentas individuales.</w:t>
      </w:r>
    </w:p>
    <w:p>
      <w:r>
        <w:t>4. Exportar un mapa sencillo con la versión instalada de qgis2web. Subir toda la carpeta a un repositorio de ensayo y probar Pages sin sesión. Ese ensayo identifica diferencias de interfaz antes de redactar instrucciones adicionales para el grupo.</w:t>
      </w:r>
    </w:p>
    <w:p>
      <w:r>
        <w:t>5. Probar el visor MapLibre desde el alojamiento elegido y un segundo equipo. No basta que index.html abra en el equipo docente.</w:t>
      </w:r>
    </w:p>
    <w:p>
      <w:pPr>
        <w:pStyle w:val="Heading1"/>
      </w:pPr>
      <w:r>
        <w:t>Criterios de aprobación</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60" w:type="dxa"/>
              <w:left w:w="60" w:type="dxa"/>
              <w:bottom w:w="60" w:type="dxa"/>
              <w:right w:w="60" w:type="dxa"/>
            </w:tcMar>
            <w:shd w:fill="EDEFF0"/>
          </w:tcPr>
          <w:p>
            <w:pPr>
              <w:spacing w:after="40" w:before="40"/>
            </w:pPr>
            <w:r>
              <w:rPr>
                <w:b/>
                <w:sz w:val="20"/>
              </w:rPr>
              <w:t>Criterio</w:t>
            </w:r>
          </w:p>
        </w:tc>
        <w:tc>
          <w:tcPr>
            <w:tcW w:type="dxa" w:w="6912"/>
            <w:tcMar>
              <w:top w:w="60" w:type="dxa"/>
              <w:left w:w="60" w:type="dxa"/>
              <w:bottom w:w="60" w:type="dxa"/>
              <w:right w:w="60" w:type="dxa"/>
            </w:tcMar>
            <w:shd w:fill="EDEFF0"/>
          </w:tcPr>
          <w:p>
            <w:pPr>
              <w:spacing w:after="40" w:before="40"/>
            </w:pPr>
            <w:r>
              <w:rPr>
                <w:b/>
                <w:sz w:val="20"/>
              </w:rPr>
              <w:t>Evidencia suficiente</w:t>
            </w:r>
          </w:p>
        </w:tc>
      </w:tr>
      <w:tr>
        <w:trPr>
          <w:cantSplit/>
        </w:trPr>
        <w:tc>
          <w:tcPr>
            <w:tcW w:type="dxa" w:w="3024"/>
            <w:tcMar>
              <w:top w:w="60" w:type="dxa"/>
              <w:left w:w="60" w:type="dxa"/>
              <w:bottom w:w="60" w:type="dxa"/>
              <w:right w:w="60" w:type="dxa"/>
            </w:tcMar>
          </w:tcPr>
          <w:p>
            <w:pPr>
              <w:spacing w:after="40" w:before="40"/>
            </w:pPr>
            <w:r>
              <w:rPr>
                <w:b w:val="0"/>
                <w:sz w:val="20"/>
              </w:rPr>
              <w:t>Acceso y procedencia</w:t>
            </w:r>
          </w:p>
        </w:tc>
        <w:tc>
          <w:tcPr>
            <w:tcW w:type="dxa" w:w="6912"/>
            <w:tcMar>
              <w:top w:w="60" w:type="dxa"/>
              <w:left w:w="60" w:type="dxa"/>
              <w:bottom w:w="60" w:type="dxa"/>
              <w:right w:w="60" w:type="dxa"/>
            </w:tcMar>
          </w:tcPr>
          <w:p>
            <w:pPr>
              <w:spacing w:after="40" w:before="40"/>
            </w:pPr>
            <w:r>
              <w:rPr>
                <w:b w:val="0"/>
                <w:sz w:val="20"/>
              </w:rPr>
              <w:t>Localiza fuente, distingue servicio y copia, informa faltantes de metadatos</w:t>
            </w:r>
          </w:p>
        </w:tc>
      </w:tr>
      <w:tr>
        <w:trPr>
          <w:cantSplit/>
        </w:trPr>
        <w:tc>
          <w:tcPr>
            <w:tcW w:type="dxa" w:w="3024"/>
            <w:tcMar>
              <w:top w:w="60" w:type="dxa"/>
              <w:left w:w="60" w:type="dxa"/>
              <w:bottom w:w="60" w:type="dxa"/>
              <w:right w:w="60" w:type="dxa"/>
            </w:tcMar>
          </w:tcPr>
          <w:p>
            <w:pPr>
              <w:spacing w:after="40" w:before="40"/>
            </w:pPr>
            <w:r>
              <w:rPr>
                <w:b w:val="0"/>
                <w:sz w:val="20"/>
              </w:rPr>
              <w:t>Publicación</w:t>
            </w:r>
          </w:p>
        </w:tc>
        <w:tc>
          <w:tcPr>
            <w:tcW w:type="dxa" w:w="6912"/>
            <w:tcMar>
              <w:top w:w="60" w:type="dxa"/>
              <w:left w:w="60" w:type="dxa"/>
              <w:bottom w:w="60" w:type="dxa"/>
              <w:right w:w="60" w:type="dxa"/>
            </w:tcMar>
          </w:tcPr>
          <w:p>
            <w:pPr>
              <w:spacing w:after="40" w:before="40"/>
            </w:pPr>
            <w:r>
              <w:rPr>
                <w:b w:val="0"/>
                <w:sz w:val="20"/>
              </w:rPr>
              <w:t>Reconoce PostGIS, GeoServer y catálogo; comprueba WMS, WFS y WCS</w:t>
            </w:r>
          </w:p>
        </w:tc>
      </w:tr>
      <w:tr>
        <w:trPr>
          <w:cantSplit/>
        </w:trPr>
        <w:tc>
          <w:tcPr>
            <w:tcW w:type="dxa" w:w="3024"/>
            <w:tcMar>
              <w:top w:w="60" w:type="dxa"/>
              <w:left w:w="60" w:type="dxa"/>
              <w:bottom w:w="60" w:type="dxa"/>
              <w:right w:w="60" w:type="dxa"/>
            </w:tcMar>
          </w:tcPr>
          <w:p>
            <w:pPr>
              <w:spacing w:after="40" w:before="40"/>
            </w:pPr>
            <w:r>
              <w:rPr>
                <w:b w:val="0"/>
                <w:sz w:val="20"/>
              </w:rPr>
              <w:t>Producto compartible</w:t>
            </w:r>
          </w:p>
        </w:tc>
        <w:tc>
          <w:tcPr>
            <w:tcW w:type="dxa" w:w="6912"/>
            <w:tcMar>
              <w:top w:w="60" w:type="dxa"/>
              <w:left w:w="60" w:type="dxa"/>
              <w:bottom w:w="60" w:type="dxa"/>
              <w:right w:w="60" w:type="dxa"/>
            </w:tcMar>
          </w:tcPr>
          <w:p>
            <w:pPr>
              <w:spacing w:after="40" w:before="40"/>
            </w:pPr>
            <w:r>
              <w:rPr>
                <w:b w:val="0"/>
                <w:sz w:val="20"/>
              </w:rPr>
              <w:t>Entrega mapa y App operativos o contingencia equivalente documentada</w:t>
            </w:r>
          </w:p>
        </w:tc>
      </w:tr>
      <w:tr>
        <w:trPr>
          <w:cantSplit/>
        </w:trPr>
        <w:tc>
          <w:tcPr>
            <w:tcW w:type="dxa" w:w="3024"/>
            <w:tcMar>
              <w:top w:w="60" w:type="dxa"/>
              <w:left w:w="60" w:type="dxa"/>
              <w:bottom w:w="60" w:type="dxa"/>
              <w:right w:w="60" w:type="dxa"/>
            </w:tcMar>
          </w:tcPr>
          <w:p>
            <w:pPr>
              <w:spacing w:after="40" w:before="40"/>
            </w:pPr>
            <w:r>
              <w:rPr>
                <w:b w:val="0"/>
                <w:sz w:val="20"/>
              </w:rPr>
              <w:t>Interpretación</w:t>
            </w:r>
          </w:p>
        </w:tc>
        <w:tc>
          <w:tcPr>
            <w:tcW w:type="dxa" w:w="6912"/>
            <w:tcMar>
              <w:top w:w="60" w:type="dxa"/>
              <w:left w:w="60" w:type="dxa"/>
              <w:bottom w:w="60" w:type="dxa"/>
              <w:right w:w="60" w:type="dxa"/>
            </w:tcMar>
          </w:tcPr>
          <w:p>
            <w:pPr>
              <w:spacing w:after="40" w:before="40"/>
            </w:pPr>
            <w:r>
              <w:rPr>
                <w:b w:val="0"/>
                <w:sz w:val="20"/>
              </w:rPr>
              <w:t>Explica valores, límites y carácter ficticio de los ejemplos</w:t>
            </w:r>
          </w:p>
        </w:tc>
      </w:tr>
      <w:tr>
        <w:trPr>
          <w:cantSplit/>
        </w:trPr>
        <w:tc>
          <w:tcPr>
            <w:tcW w:type="dxa" w:w="3024"/>
            <w:tcMar>
              <w:top w:w="60" w:type="dxa"/>
              <w:left w:w="60" w:type="dxa"/>
              <w:bottom w:w="60" w:type="dxa"/>
              <w:right w:w="60" w:type="dxa"/>
            </w:tcMar>
          </w:tcPr>
          <w:p>
            <w:pPr>
              <w:spacing w:after="40" w:before="40"/>
            </w:pPr>
            <w:r>
              <w:rPr>
                <w:b w:val="0"/>
                <w:sz w:val="20"/>
              </w:rPr>
              <w:t>Conservación</w:t>
            </w:r>
          </w:p>
        </w:tc>
        <w:tc>
          <w:tcPr>
            <w:tcW w:type="dxa" w:w="6912"/>
            <w:tcMar>
              <w:top w:w="60" w:type="dxa"/>
              <w:left w:w="60" w:type="dxa"/>
              <w:bottom w:w="60" w:type="dxa"/>
              <w:right w:w="60" w:type="dxa"/>
            </w:tcMar>
          </w:tcPr>
          <w:p>
            <w:pPr>
              <w:spacing w:after="40" w:before="40"/>
            </w:pPr>
            <w:r>
              <w:rPr>
                <w:b w:val="0"/>
                <w:sz w:val="20"/>
              </w:rPr>
              <w:t>Incluye archivos, código y enlaces; otro equipo puede revisar la entrega</w:t>
            </w:r>
          </w:p>
        </w:tc>
      </w:tr>
    </w:tbl>
    <w:p>
      <w:r>
        <w:t>Usar estados Completo / A corregir / Resuelto por contingencia. Aprobar cuando los criterios estén completos o resueltos con una evidencia equivalente observada. No penalizar fallos externos ni exigir una infraestructura pública permanente al estudiante.</w:t>
      </w:r>
    </w:p>
    <w:p>
      <w:pPr>
        <w:pStyle w:val="Heading1"/>
      </w:pPr>
      <w:r>
        <w:t>Si se demora el grupo</w:t>
      </w:r>
    </w:p>
    <w:p>
      <w:r>
        <w:t>Mantener consumo OGC, publicación básica, metadatos y un producto web verificable. Usar PMTiles ya generado, hacer la carga al bucket solo desde la máquina docente y publicar Apps en parejas con copia individual del código. La instalación, nuevas cuentas y conversiones extensas nunca se trasladan al final de la mañana.</w:t>
      </w:r>
    </w:p>
    <w:p>
      <w:r>
        <w:t>Si se pierde Internet, QGIS y la red local siguen permitiendo gran parte de M1 y M2. Completar exportación web y fichas localmente. Earth Engine y las dependencias remotas del visor requieren conexión: usar capturas reales del ensayo y documentar la prueba pendiente.</w:t>
      </w:r>
    </w:p>
    <w:p>
      <w:pPr>
        <w:pStyle w:val="Heading1"/>
        <w:pageBreakBefore/>
      </w:pPr>
      <w:r>
        <w:t>Respuestas orientativas</w:t>
      </w:r>
    </w:p>
    <w:p>
      <w:r>
        <w:t>M1 · WMS devuelve una representación y puede ofrecer una consulta puntual; WFS entrega objetos. El GeoPackage exportado es una copia con fecha. XYZ raster no permite seleccionar calles como geometrías. STAC describe un activo. El COG transfiere bloques, no elimina la descarga.</w:t>
      </w:r>
    </w:p>
    <w:p>
      <w:r>
        <w:t>M2 · PostGIS almacena; GeoServer publica; QGIS consume; GeoNetwork permite descubrir y evaluar. Una tabla no se vuelve WFS por existir en la base. WCS conserva valores raster según la petición; una banda roja no es un modelo de elevación. La actualización de la fuente puede requerir refrescar el cliente o revisar caché.</w:t>
      </w:r>
    </w:p>
    <w:p>
      <w:r>
        <w:t>M3 · Pages aloja la aplicación estática y los archivos publicados. PMTiles contiene una pirámide de teselas. El almacenamiento sigue necesitando permisos, disponibilidad y transferencia. Earth Engine ejecuta el procesamiento remoto de la App. Un NDVI menor admite varias explicaciones y no prueba una causa.</w:t>
      </w:r>
    </w:p>
    <w:p>
      <w:pPr>
        <w:pStyle w:val="Heading1"/>
      </w:pPr>
      <w:r>
        <w:t>Ampliaciones fuera del recorrido obligatorio</w:t>
      </w:r>
    </w:p>
    <w:p>
      <w:r>
        <w:t>Reservar hasta dos horas adicionales si el grupo avanza rápido o para consulta posterior: 30 minutos de generación individual de PMTiles; 30 de carga y consumo de COG propio; 30 de un Item STAC propio; 30 de comparación con GeoParquet y DuckDB. No agregar estos tiempos a las tres franjas sin sustituir actividades.</w:t>
      </w:r>
    </w:p>
    <w:p>
      <w:r>
        <w:t>Colab queda como herramienta auxiliar eventual. El flujo central usa QGIS, navegador y plantillas; no exige aprender Git, SQL ni JavaScript desde cero.</w:t>
      </w:r>
    </w:p>
    <w:p>
      <w:pPr>
        <w:pStyle w:val="Heading1"/>
      </w:pPr>
      <w:r>
        <w:t>Referencias de preparación</w:t>
      </w:r>
    </w:p>
    <w:p>
      <w:r>
        <w:t xml:space="preserve">GeoServer Docker · </w:t>
      </w:r>
      <w:hyperlink r:id="rIdUrl4">
        <w:r>
          <w:t xml:space="preserve">https://docs.geoserver.org/main/en/user/installation/docker/</w:t>
        </w:r>
      </w:hyperlink>
    </w:p>
    <w:p>
      <w:r>
        <w:t xml:space="preserve">GeoNetwork Docker · </w:t>
      </w:r>
      <w:hyperlink r:id="rIdUrl5">
        <w:r>
          <w:t xml:space="preserve">https://github.com/geonetwork/docker-geonetwork</w:t>
        </w:r>
      </w:hyperlink>
    </w:p>
    <w:p>
      <w:r>
        <w:t xml:space="preserve">Configuración de la imagen · </w:t>
      </w:r>
      <w:hyperlink r:id="rIdUrl6">
        <w:r>
          <w:t xml:space="preserve">https://github.com/docker-library/docs/tree/master/geonetwork</w:t>
        </w:r>
      </w:hyperlink>
    </w:p>
    <w:p>
      <w:r>
        <w:t xml:space="preserve">PostGIS Docker · </w:t>
      </w:r>
      <w:hyperlink r:id="rIdUrl7">
        <w:r>
          <w:t xml:space="preserve">https://github.com/postgis/docker-postgis</w:t>
        </w:r>
      </w:hyperlink>
    </w:p>
    <w:p>
      <w:r>
        <w:t xml:space="preserve">PMTiles en almacenamiento · </w:t>
      </w:r>
      <w:hyperlink r:id="rIdUrl8">
        <w:r>
          <w:t xml:space="preserve">https://docs.protomaps.com/pmtiles/cloud-storage</w:t>
        </w:r>
      </w:hyperlink>
    </w:p>
    <w:p>
      <w:r>
        <w:t xml:space="preserve">Cloud Storage CORS · </w:t>
      </w:r>
      <w:hyperlink r:id="rIdUrl9">
        <w:r>
          <w:t xml:space="preserve">https://cloud.google.com/storage/docs/using-cors</w:t>
        </w:r>
      </w:hyperlink>
    </w:p>
    <w:p>
      <w:r>
        <w:t xml:space="preserve">Earth Engine Apps · </w:t>
      </w:r>
      <w:hyperlink r:id="rIdUrl10">
        <w:r>
          <w:t xml:space="preserve">https://developers.google.com/earth-engine/guides/apps</w:t>
        </w:r>
      </w:hyperlink>
    </w:p>
    <w:p>
      <w:r>
        <w:t xml:space="preserve">GitHub Pages · </w:t>
      </w:r>
      <w:hyperlink r:id="rIdUrl11">
        <w:r>
          <w:t xml:space="preserve">https://docs.github.com/en/pages/getting-started-with-github-pages/creating-a-github-pages-site</w:t>
        </w:r>
      </w:hyperlink>
    </w:p>
    <w:p>
      <w:r>
        <w:t>La validación técnica concreta y los ensayos que todavía requieren cuentas o un segundo equipo están registrados en VALIDACION.txt. Consultarlo antes de distribuir el paquete como práctica ensayada de extremo a extremo.</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Fernando Tentor · 8 y 9 de octubre de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MAESTRÍA · INFRAESTRUCTURA DE DATOS ESPACIALES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Url1" Type="http://schemas.openxmlformats.org/officeDocument/2006/relationships/hyperlink" Target="http://localhost:8080/geoserver" TargetMode="External"/><Relationship Id="rIdUrl2" Type="http://schemas.openxmlformats.org/officeDocument/2006/relationships/hyperlink" Target="http://localhost:8081/geonetwork" TargetMode="External"/><Relationship Id="rIdUrl3" Type="http://schemas.openxmlformats.org/officeDocument/2006/relationships/hyperlink" Target="http://localhost:8090/maplibre/" TargetMode="External"/><Relationship Id="rIdUrl4" Type="http://schemas.openxmlformats.org/officeDocument/2006/relationships/hyperlink" Target="https://docs.geoserver.org/main/en/user/installation/docker/" TargetMode="External"/><Relationship Id="rIdUrl5" Type="http://schemas.openxmlformats.org/officeDocument/2006/relationships/hyperlink" Target="https://github.com/geonetwork/docker-geonetwork" TargetMode="External"/><Relationship Id="rIdUrl6" Type="http://schemas.openxmlformats.org/officeDocument/2006/relationships/hyperlink" Target="https://github.com/docker-library/docs/tree/master/geonetwork" TargetMode="External"/><Relationship Id="rIdUrl7" Type="http://schemas.openxmlformats.org/officeDocument/2006/relationships/hyperlink" Target="https://github.com/postgis/docker-postgis" TargetMode="External"/><Relationship Id="rIdUrl8" Type="http://schemas.openxmlformats.org/officeDocument/2006/relationships/hyperlink" Target="https://docs.protomaps.com/pmtiles/cloud-storage" TargetMode="External"/><Relationship Id="rIdUrl9" Type="http://schemas.openxmlformats.org/officeDocument/2006/relationships/hyperlink" Target="https://cloud.google.com/storage/docs/using-cors" TargetMode="External"/><Relationship Id="rIdUrl10" Type="http://schemas.openxmlformats.org/officeDocument/2006/relationships/hyperlink" Target="https://developers.google.com/earth-engine/guides/apps" TargetMode="External"/><Relationship Id="rIdUrl11" Type="http://schemas.openxmlformats.org/officeDocument/2006/relationships/hyperlink" Target="https://docs.github.com/en/pages/getting-started-with-github-pages/creating-a-github-pages-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Conducción y preparación del laboratorio IDE</dc:title>
  <dc:subject>Práctica presencial de Infraestructura de Datos Espaciales</dc:subject>
  <dc:creator>Fernando Tentor</dc:creator>
  <cp:keywords/>
  <dc:description>generated by python-docx</dc:description>
  <cp:lastModifiedBy/>
  <cp:revision>1</cp:revision>
  <dcterms:created xsi:type="dcterms:W3CDTF">2013-12-23T23:15:00Z</dcterms:created>
  <dcterms:modified xsi:type="dcterms:W3CDTF">2013-12-23T23:15:00Z</dcterms:modified>
  <cp:category/>
</cp:coreProperties>
</file>