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 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DATA DA PUBLICACAO DA DECISAO</w:t>
      </w:r>
      <w:r>
        <w:rPr>
          <w:rFonts w:ascii="Calibri" w:hAnsi="Calibri"/>
        </w:rPr>
        <w:t xml:space="preserve"> ,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PUBLICACAO SAIRA EM NOME DO ADV</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rPr>
          <w:rFonts w:ascii="Calibri" w:hAnsi="Calibri"/>
        </w:rPr>
        <w:t>Insurge-se as alegações da Apelante, que pleiteia a reforma da sentença proferida pelo Nobre Julgador singular, alegando em síntese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DATA DO SINISTRO</w:t>
      </w:r>
      <w:r>
        <w:t xml:space="preserve">, ao passo que o pedido administrativo ocorreu no dia </w:t>
      </w:r>
      <w:r>
        <w:rPr>
          <w:b/>
        </w:rPr>
        <w:t>DATA DO PEDIDO ADMINISTRATIVO</w:t>
      </w:r>
      <w:r>
        <w:t xml:space="preserve">, conforme pode se comprovar através de simples análise do processo administrativo, transcorrendo entre os dois marcos, o prazo de </w:t>
      </w:r>
      <w:r>
        <w:rPr>
          <w:rFonts w:ascii="Calibri" w:hAnsi="Calibri"/>
          <w:b/>
        </w:rPr>
        <w:t>TEMPO DECORRIDO.</w:t>
      </w:r>
    </w:p>
    <w:p>
      <w:pPr>
        <w:spacing w:after="220"/>
        <w:ind w:left="0"/>
        <w:jc w:val="both"/>
      </w:pPr>
      <w:r>
        <w:t xml:space="preserve">Após, a data da negativa do pleito administrativo, ou seja, o fim da causa suspensiva, que se deu na data de </w:t>
      </w:r>
      <w:r>
        <w:rPr>
          <w:b/>
        </w:rPr>
        <w:t>FINAL DA CAUSA SUSPENSIVA</w:t>
      </w:r>
      <w:r>
        <w:t xml:space="preserve">, temos que a data de ajuizamento da ação ocorreu no dia </w:t>
      </w:r>
      <w:r>
        <w:rPr>
          <w:rFonts w:ascii="Calibri" w:hAnsi="Calibri"/>
          <w:b/>
        </w:rPr>
        <w:t>DATA DO AJUIZAMENTO.</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0"/>
        <w:jc w:val="center"/>
      </w:pPr>
      <w:r>
        <w:t>Neste Termos</w:t>
      </w:r>
    </w:p>
    <w:p>
      <w:pPr>
        <w:jc w:val="center"/>
      </w:pPr>
      <w:r>
        <w:t>Pede Deferimento</w:t>
      </w:r>
    </w:p>
    <w:p>
      <w:pPr>
        <w:jc w:val="center"/>
      </w:pPr>
      <w:r>
        <w:t>Teresina, 14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