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sem que fizesse prova de sua invalidez total.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não realizou pedido administrativo, demonstrando sua falta de interesse de agir.</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nos termos do artigo 373, I do CPC, não conseguiu demonstrar o nexo causal entre o sinistro e a suposta lesão.</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o perito judicial após exame físico não atestou lesão decorrente do acidente narrada na petição inicial.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pStyle w:val="Heading1"/>
        <w:spacing w:after="220"/>
        <w:jc w:val="center"/>
      </w:pPr>
      <w:r>
        <w:rPr>
          <w:rFonts w:ascii="Calibri" w:hAnsi="Calibri"/>
          <w:b/>
          <w:color w:val="000000"/>
          <w:sz w:val="22"/>
          <w:u w:val="single"/>
        </w:rPr>
        <w:t>DA PRETENSÃO DA RECORRENTE</w:t>
      </w:r>
    </w:p>
    <w:p>
      <w:pPr>
        <w:spacing w:after="220"/>
        <w:ind w:left="0"/>
        <w:jc w:val="both"/>
      </w:pPr>
      <w:r>
        <w:rPr>
          <w:rFonts w:ascii="Calibri" w:hAnsi="Calibri"/>
        </w:rPr>
        <w:t>Insatisfeito com a decisão proferida pelo Eminente Magistrado, decidiu o autor, ora Apelante, recorrer da decisão exarada na r. sentença.</w:t>
      </w:r>
    </w:p>
    <w:p>
      <w:pPr>
        <w:spacing w:after="220"/>
        <w:ind w:left="0"/>
        <w:jc w:val="both"/>
      </w:pPr>
      <w:r>
        <w:rPr>
          <w:rFonts w:ascii="Calibri" w:hAnsi="Calibri"/>
        </w:rPr>
        <w:t>O Apelante ingressou com a presente ação pleiteando a correção monetária do valor recebido administrativamente acrescidos de juros e correção monetária.</w:t>
      </w:r>
    </w:p>
    <w:p>
      <w:pPr>
        <w:spacing w:after="220"/>
        <w:ind w:left="0"/>
        <w:jc w:val="both"/>
      </w:pPr>
      <w:r>
        <w:rPr>
          <w:rFonts w:ascii="Calibri" w:hAnsi="Calibri"/>
        </w:rPr>
        <w:t>O Nobre Magistrado “a quo” entendeu, brilhantemente, julgar improcedente a demanda.</w:t>
      </w:r>
    </w:p>
    <w:p>
      <w:pPr>
        <w:spacing w:after="220"/>
        <w:ind w:left="0"/>
        <w:jc w:val="both"/>
      </w:pPr>
      <w:r>
        <w:t xml:space="preserve">Em se tratando o objeto da presente demanda de correção monetária de pagamento de indenização relacionada ao Seguro DPVAT, a fundamentação do relatório da sentença guerreada do </w:t>
      </w:r>
      <w:r>
        <w:rPr>
          <w:b/>
          <w:u w:val="single"/>
        </w:rPr>
        <w:t>Juízo “a quo”</w:t>
      </w:r>
      <w:r>
        <w:t xml:space="preserve">, esta </w:t>
      </w:r>
      <w:r>
        <w:rPr>
          <w:rFonts w:ascii="Calibri" w:hAnsi="Calibri"/>
          <w:b/>
          <w:u w:val="single"/>
        </w:rPr>
        <w:t>PLAUSIVELMENTE COLOCADA E FUNDAMENTADA.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pStyle w:val="Heading1"/>
        <w:spacing w:after="220"/>
        <w:jc w:val="center"/>
      </w:pPr>
      <w:r>
        <w:rPr>
          <w:rFonts w:ascii="Calibri" w:hAnsi="Calibri"/>
          <w:b/>
          <w:color w:val="000000"/>
          <w:sz w:val="22"/>
          <w:u w:val="single"/>
        </w:rPr>
        <w:t>NULIDADE DE INTIMAÇÃO</w:t>
      </w:r>
    </w:p>
    <w:p>
      <w:pPr>
        <w:spacing w:after="220"/>
        <w:ind w:left="0"/>
        <w:jc w:val="both"/>
      </w:pPr>
      <w:r>
        <w:t xml:space="preserve">Inicialmente, cumpre observar que foi publicado dia </w:t>
      </w:r>
      <w:r>
        <w:rPr>
          <w:b/>
        </w:rPr>
        <w:t>DATA DA PUBLICACAO DA DECISAO</w:t>
      </w:r>
      <w:r>
        <w:rPr>
          <w:rFonts w:ascii="Calibri" w:hAnsi="Calibri"/>
        </w:rPr>
        <w:t xml:space="preserve"> ,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PUBLICACAO SAIRA EM NOME DO ADV</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spacing w:after="220"/>
        <w:ind w:left="0"/>
        <w:jc w:val="both"/>
      </w:pPr>
      <w:r>
        <w:rPr>
          <w:rFonts w:ascii="Calibri" w:hAnsi="Calibri"/>
        </w:rPr>
      </w:r>
    </w:p>
    <w:p>
      <w:pPr>
        <w:spacing w:after="220"/>
        <w:ind w:left="0"/>
        <w:jc w:val="both"/>
      </w:pPr>
      <w:r>
        <w:rPr>
          <w:rFonts w:ascii="Calibri" w:hAnsi="Calibri"/>
        </w:rPr>
      </w:r>
    </w:p>
    <w:p>
      <w:pPr>
        <w:spacing w:after="20"/>
        <w:jc w:val="center"/>
      </w:pPr>
      <w:r>
        <w:t>Neste Termos</w:t>
      </w:r>
    </w:p>
    <w:p>
      <w:pPr>
        <w:jc w:val="center"/>
      </w:pPr>
      <w:r>
        <w:t>Pede Deferimento</w:t>
      </w:r>
    </w:p>
    <w:p>
      <w:pPr>
        <w:jc w:val="center"/>
      </w:pPr>
      <w:r>
        <w:t>Teresina, 10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