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t>Inicialmente, cumpre observar que foi publicado dia</w:t>
      </w:r>
      <w:r>
        <w:rPr>
          <w:b/>
        </w:rPr>
        <w:t>17/09/2021</w:t>
      </w:r>
      <w:r>
        <w:rPr>
          <w:rFonts w:ascii="Calibri" w:hAnsi="Calibri"/>
        </w:rPr>
        <w:t>, no Diário da Justiça Eletrônico, a r. decisão exarada, como se verifica na colação abaixo:</w:t>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t xml:space="preserve">,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ciencia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CONTRADIÇÃO NA SENTENÇA PROFERIDA:</w:t>
      </w:r>
    </w:p>
    <w:p>
      <w:pPr>
        <w:spacing w:after="220"/>
        <w:ind w:left="0"/>
        <w:jc w:val="both"/>
      </w:pPr>
      <w:r>
        <w:rPr>
          <w:rFonts w:ascii="Calibri" w:hAnsi="Calibri"/>
        </w:rPr>
        <w:t>Sem adentrar ao mérito da sentença, informa a V. Exa. que constou na parte dispositiva desta o seguinte:</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"COLACIONAR SENTENÇA"</w:t>
      </w:r>
    </w:p>
    <w:p>
      <w:pPr>
        <w:spacing w:after="220"/>
        <w:ind w:left="0"/>
        <w:jc w:val="both"/>
      </w:pPr>
      <w:r>
        <w:t xml:space="preserve">Com a mais respeitosa vênia, assim o fazendo, afigura-se a v. decisão contraditória em pontos essenciais, justificando o cabimento dos presentes Embargos de Declaração, a fim de que essa V. Exa. decida-os e confira não só efeitos integrativos, como também, modificativos ao respeitável </w:t>
      </w:r>
      <w:r>
        <w:rPr>
          <w:rFonts w:ascii="Calibri" w:hAnsi="Calibri"/>
          <w:i/>
        </w:rPr>
        <w:t>decisum.</w:t>
      </w:r>
    </w:p>
    <w:p>
      <w:pPr>
        <w:spacing w:after="220"/>
        <w:ind w:left="0"/>
        <w:jc w:val="both"/>
      </w:pPr>
      <w:r>
        <w:t>Assim, tem-se que a embargante foi condenada ao pagamento de</w:t>
      </w:r>
      <w:r>
        <w:rPr>
          <w:rFonts w:ascii="Calibri" w:hAnsi="Calibri"/>
          <w:b/>
          <w:u w:val="single"/>
        </w:rPr>
        <w:t>R$ 15,00 (quinze reais)corrigido monetariamente e acrescidos de juros.</w:t>
      </w:r>
    </w:p>
    <w:p>
      <w:pPr>
        <w:spacing w:after="220"/>
        <w:ind w:left="0"/>
        <w:jc w:val="both"/>
      </w:pPr>
      <w:r>
        <w:t>Ocorre que, conforme explanado no mérito da sentença, o laudo traumatológico do IML,</w:t>
      </w:r>
      <w:r>
        <w:rPr>
          <w:rFonts w:ascii="Calibri" w:hAnsi="Calibri"/>
          <w:b/>
          <w:u w:val="single"/>
        </w:rPr>
        <w:t xml:space="preserve">comprova a invalidez permanente de </w:t>
      </w:r>
      <w:r>
        <w:rPr>
          <w:rFonts w:ascii="Calibri" w:hAnsi="Calibri"/>
          <w:b w:val="0"/>
          <w:i w:val="0"/>
          <w:color w:val="000000"/>
          <w:u w:val="none"/>
        </w:rPr>
        <w:t>30000</w:t>
      </w:r>
      <w:r>
        <w:rPr>
          <w:rFonts w:ascii="Calibri" w:hAnsi="Calibri"/>
          <w:b w:val="0"/>
          <w:i w:val="0"/>
          <w:color w:val="000000"/>
          <w:u w:val="none"/>
        </w:rPr>
        <w:t xml:space="preserve"> .</w:t>
      </w:r>
    </w:p>
    <w:p>
      <w:pPr>
        <w:spacing w:after="220"/>
        <w:ind w:left="0"/>
        <w:jc w:val="both"/>
      </w:pPr>
      <w:r>
        <w:t xml:space="preserve">Diante dos fatos aduzidos, resta evidenciado nos autos que a r. decisão, não fez a melhor justiça, data vênia, eis que, </w:t>
      </w:r>
      <w:r>
        <w:rPr>
          <w:b/>
          <w:u w:val="single"/>
        </w:rPr>
        <w:t>demonstra fundamentação e dispositivo contraditórios</w:t>
      </w:r>
      <w:r>
        <w:rPr>
          <w:rFonts w:ascii="Calibri" w:hAnsi="Calibri"/>
        </w:rPr>
        <w:t xml:space="preserve"> ferindo o princípio da razoabilidade, razão pela qual, a Embargante opõe o presente, com a finalidade de evitar a condenação injusta e infundada.</w:t>
      </w:r>
    </w:p>
    <w:p>
      <w:pPr>
        <w:spacing w:after="220"/>
        <w:ind w:left="0"/>
        <w:jc w:val="both"/>
      </w:pPr>
      <w:r>
        <w:t xml:space="preserve">Eis que os percentuais apurados de invalidez deveriam ter sido calculados levando em consideração a indenização máxima prevista para as </w:t>
      </w:r>
      <w:r>
        <w:rPr>
          <w:b/>
          <w:u w:val="single"/>
        </w:rPr>
        <w:t>lesões apuradas</w:t>
      </w:r>
      <w:r>
        <w:rPr>
          <w:rFonts w:ascii="Calibri" w:hAnsi="Calibri"/>
        </w:rPr>
        <w:t xml:space="preserve"> e para se chegar ao valor indenizável devido, na presente hipótese de invalidez parcial incompleta, devem ser observadas duas etapas:</w:t>
      </w:r>
    </w:p>
    <w:p>
      <w:pPr>
        <w:spacing w:after="220"/>
        <w:ind w:left="0"/>
        <w:jc w:val="both"/>
      </w:pPr>
      <w:r/>
      <w:r>
        <w:rPr>
          <w:b/>
        </w:rPr>
        <w:t>1)</w:t>
      </w:r>
      <w:r>
        <w:rPr>
          <w:rFonts w:ascii="Calibri" w:hAnsi="Calibri"/>
        </w:rPr>
        <w:t xml:space="preserve"> Identifica-se o tipo de dano corporal segmentar na Tabela, aplicando-se o respectivo percentual de perda;</w:t>
      </w:r>
    </w:p>
    <w:tbl>
      <w:tblPr>
        <w:tblStyle w:val="TableGrid"/>
        <w:tblW w:type="auto" w:w="0"/>
        <w:jc w:val="center"/>
        <w:tblLayout w:type="autofit"/>
        <w:tblLook w:firstColumn="1" w:firstRow="1" w:lastColumn="0" w:lastRow="0" w:noHBand="0" w:noVBand="1" w:val="04A0"/>
      </w:tblPr>
      <w:tblGrid>
        <w:gridCol w:w="4535"/>
        <w:gridCol w:w="2268"/>
        <w:gridCol w:w="1701"/>
      </w:tblGrid>
      <w:tr>
        <w:tc>
          <w:tcPr>
            <w:tcW w:type="dxa" w:w="4535"/>
          </w:tcPr>
          <w:p/>
          <w:p>
            <w:pPr>
              <w:spacing w:after="220"/>
              <w:jc w:val="center"/>
            </w:pPr>
            <w:r>
              <w:t>Danos Corporais Segmentares (Parciais)</w:t>
              <w:br/>
              <w:br/>
              <w:t>Outras repercussões em Orgãos e Estruturas</w:t>
              <w:br/>
              <w:t>Corporais</w:t>
            </w:r>
          </w:p>
        </w:tc>
        <w:tc>
          <w:tcPr>
            <w:tcW w:type="dxa" w:w="2268"/>
          </w:tcPr>
          <w:p/>
          <w:p>
            <w:pPr>
              <w:spacing w:after="220"/>
              <w:jc w:val="center"/>
            </w:pPr>
            <w:r>
              <w:t>Percentuais</w:t>
            </w:r>
          </w:p>
        </w:tc>
        <w:tc>
          <w:tcPr>
            <w:tcW w:type="dxa" w:w="1701"/>
          </w:tcPr>
          <w:p/>
          <w:p>
            <w:pPr>
              <w:spacing w:after="220"/>
              <w:jc w:val="center"/>
            </w:pPr>
            <w:r>
              <w:t>Valor da Indenização</w:t>
            </w:r>
          </w:p>
        </w:tc>
      </w:tr>
      <w:tr>
        <w:tc>
          <w:tcPr>
            <w:tcW w:type="dxa" w:w="4535"/>
          </w:tcPr>
          <w:p/>
          <w:p>
            <w:pPr>
              <w:spacing w:after="220"/>
              <w:jc w:val="center"/>
            </w:pPr>
            <w:r>
              <w:t>Sequela nao indenizavel</w:t>
            </w:r>
          </w:p>
        </w:tc>
        <w:tc>
          <w:tcPr>
            <w:tcW w:type="dxa" w:w="2268"/>
          </w:tcPr>
          <w:p/>
          <w:p>
            <w:pPr>
              <w:spacing w:after="220"/>
              <w:jc w:val="center"/>
            </w:pPr>
            <w:r>
              <w:t>100%</w:t>
            </w:r>
          </w:p>
        </w:tc>
        <w:tc>
          <w:tcPr>
            <w:tcW w:type="dxa" w:w="1701"/>
          </w:tcPr>
          <w:p/>
          <w:p>
            <w:pPr>
              <w:spacing w:after="220"/>
              <w:jc w:val="center"/>
            </w:pPr>
            <w:r>
              <w:t>20,00</w:t>
            </w:r>
          </w:p>
        </w:tc>
      </w:tr>
    </w:tbl>
    <w:p>
      <w:pPr>
        <w:spacing w:after="220"/>
        <w:ind w:left="0"/>
        <w:jc w:val="both"/>
      </w:pPr>
      <w:r>
        <w:rPr>
          <w:rFonts w:ascii="Calibri" w:hAnsi="Calibri"/>
        </w:rPr>
      </w:r>
    </w:p>
    <w:p>
      <w:pPr>
        <w:spacing w:after="220"/>
        <w:ind w:left="0"/>
        <w:jc w:val="both"/>
      </w:pPr>
      <w:r/>
      <w:r>
        <w:rPr>
          <w:b/>
        </w:rPr>
        <w:t>2)</w:t>
      </w:r>
      <w:r>
        <w:rPr>
          <w:rFonts w:ascii="Calibri" w:hAnsi="Calibri"/>
        </w:rPr>
        <w:t xml:space="preserve"> Sobre o valor encontrado, aplica-se os percentuais de acordo com o grau de repercussão: intensa –  75%; média – 50%; leve – 25%; e sequela residual – 10%.</w:t>
      </w:r>
    </w:p>
    <w:tbl>
      <w:tblPr>
        <w:tblStyle w:val="TableGrid"/>
        <w:tblW w:type="auto" w:w="0"/>
        <w:jc w:val="center"/>
        <w:tblLayout w:type="autofit"/>
        <w:tblLook w:firstColumn="1" w:firstRow="1" w:lastColumn="0" w:lastRow="0" w:noHBand="0" w:noVBand="1" w:val="04A0"/>
      </w:tblPr>
      <w:tblGrid>
        <w:gridCol w:w="4535"/>
        <w:gridCol w:w="2268"/>
      </w:tblGrid>
      <w:tr>
        <w:tc>
          <w:tcPr>
            <w:tcW w:type="dxa" w:w="4535"/>
          </w:tcPr>
          <w:p/>
          <w:p>
            <w:pPr>
              <w:spacing w:after="220"/>
              <w:jc w:val="center"/>
            </w:pPr>
            <w:r>
              <w:t>Repercussão</w:t>
            </w:r>
          </w:p>
        </w:tc>
        <w:tc>
          <w:tcPr>
            <w:tcW w:type="dxa" w:w="2268"/>
          </w:tcPr>
          <w:p/>
          <w:p>
            <w:pPr>
              <w:spacing w:after="220"/>
              <w:jc w:val="center"/>
            </w:pPr>
            <w:r>
              <w:t>Valor da Indenização</w:t>
            </w:r>
          </w:p>
        </w:tc>
      </w:tr>
      <w:tr>
        <w:tc>
          <w:tcPr>
            <w:tcW w:type="dxa" w:w="4535"/>
          </w:tcPr>
          <w:p/>
          <w:p>
            <w:pPr>
              <w:spacing w:after="220"/>
              <w:jc w:val="center"/>
            </w:pPr>
            <w:r>
              <w:t>10% (grau mínimo)</w:t>
            </w:r>
          </w:p>
        </w:tc>
        <w:tc>
          <w:tcPr>
            <w:tcW w:type="dxa" w:w="2268"/>
          </w:tcPr>
          <w:p/>
          <w:p>
            <w:pPr>
              <w:spacing w:after="220"/>
              <w:jc w:val="center"/>
            </w:pPr>
            <w:r>
              <w:t>R$ 250,00 (duzentos e cinquenta reais)</w:t>
            </w:r>
          </w:p>
        </w:tc>
      </w:tr>
    </w:tbl>
    <w:p>
      <w:pPr>
        <w:spacing w:after="220"/>
        <w:ind w:left="0"/>
        <w:jc w:val="both"/>
      </w:pPr>
      <w:r>
        <w:rPr>
          <w:rFonts w:ascii="Calibri" w:hAnsi="Calibri"/>
        </w:rPr>
      </w:r>
    </w:p>
    <w:p>
      <w:pPr>
        <w:spacing w:after="220"/>
        <w:ind w:left="0"/>
        <w:jc w:val="both"/>
      </w:pPr>
      <w:r>
        <w:t xml:space="preserve">Portanto, a Embargante esclarece que a verba indenitária deverá respeitar o cálculo apresentado acima, levando em consideração o pagamento realizado na seara administrativa na monta de </w:t>
      </w:r>
      <w:r>
        <w:rPr>
          <w:b/>
          <w:u w:val="single"/>
        </w:rPr>
        <w:t>R$ 1.250,00 (Um mil, duzentos e cinquenta reais)</w:t>
      </w:r>
      <w:r>
        <w:t xml:space="preserve"> não ultrapassando a monta de </w:t>
      </w:r>
      <w:r>
        <w:rPr>
          <w:b/>
          <w:u w:val="single"/>
        </w:rPr>
        <w:t>R$ 50,00 (cinquenta reais)</w:t>
      </w:r>
      <w:r>
        <w:rPr>
          <w:rFonts w:ascii="Calibri" w:hAnsi="Calibri"/>
        </w:rPr>
        <w:t>.</w:t>
      </w:r>
    </w:p>
    <w:p>
      <w:pPr>
        <w:spacing w:after="220"/>
        <w:ind w:left="0"/>
        <w:jc w:val="both"/>
      </w:pPr>
      <w:r>
        <w:rPr>
          <w:rFonts w:ascii="Calibri" w:hAnsi="Calibri"/>
        </w:rPr>
        <w:t xml:space="preserve">Assim sendo, a Embargante, demonstra nesses autos, onde ocorreu o equívoco no valor da condenação arbitrado por sentença, eis que a ora Embargante fora condenada ao pagamento de indenização correspondente a gradação da lesão diversa da acometida pelo Embargado, desrespeitando legislação em apreço, afigurando-se o julgado em desvirtuamento da norma legal, merecendo ser reformada a sentença neste ponto para que haja aplicação da norma legal pertinente ao caso concreto, conforme o disposto no 3º, inciso II, da Lei nº. 11.945/2009 e Súmula 474 do Superior Tribunal de Justiça. </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EMINENTE JULGADOR</w:t>
      </w:r>
    </w:p>
    <w:p>
      <w:pPr>
        <w:spacing w:after="220"/>
        <w:ind w:left="0"/>
        <w:jc w:val="both"/>
      </w:pPr>
      <w:r>
        <w:t xml:space="preserve">São essas as razões pelas quais a embargante, invocando os áureos e doutos suplementos de Vossa Excelência, confia, espera e requer sejam acolhidos e providos os presentes Embargos Declaratórios, enfrentado-se os pontos contraditórios suscitados, sob a ótica dos artigos 3º, inciso II, da Lei nº. 11.945/2009, c/c com a </w:t>
      </w:r>
      <w:r>
        <w:rPr>
          <w:b/>
        </w:rPr>
        <w:t>Súmula 474 do STJ</w:t>
      </w:r>
      <w:r>
        <w:rPr>
          <w:rFonts w:ascii="Calibri" w:hAnsi="Calibri"/>
        </w:rPr>
        <w:t xml:space="preserve"> e Art. 1.022 do Código de Processo Civil, conferindo-lhes efeitos integrativos, por via de consequência modificativos, para o fim de prover integralmente.</w:t>
      </w:r>
    </w:p>
    <w:p>
      <w:pPr>
        <w:spacing w:after="220"/>
        <w:ind w:left="0"/>
        <w:jc w:val="both"/>
      </w:pPr>
      <w:r>
        <w:rPr>
          <w:rFonts w:ascii="Calibri" w:hAnsi="Calibri"/>
        </w:rPr>
        <w:t>A Embargante informa que pelo fato dos presentes Embargos terem efeitos infringentes, requer que seja feita a devida intimação da parte Embargada, para que esta venha responder as presentes alegações.</w:t>
      </w:r>
    </w:p>
    <w:p>
      <w:pPr>
        <w:spacing w:after="20"/>
        <w:jc w:val="center"/>
      </w:pPr>
      <w:r>
        <w:t>Neste Termos</w:t>
      </w:r>
    </w:p>
    <w:p>
      <w:pPr>
        <w:jc w:val="center"/>
      </w:pPr>
      <w:r>
        <w:t>Pede Deferimento</w:t>
      </w:r>
    </w:p>
    <w:p>
      <w:pPr>
        <w:jc w:val="center"/>
      </w:pPr>
      <w:r>
        <w:t>Teresina, 17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