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9" w:name="Xc442a91154055378296d218fe60840af45967e5"/>
    <w:p>
      <w:pPr>
        <w:pStyle w:val="Heading1"/>
      </w:pPr>
      <w:r>
        <w:t xml:space="preserve">Key Differences Between the Educational Blockchain Project and a Real Production Network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Educational Project</w:t>
            </w:r>
          </w:p>
        </w:tc>
        <w:tc>
          <w:tcPr/>
          <w:p>
            <w:pPr>
              <w:pStyle w:val="Compact"/>
            </w:pPr>
            <w:r>
              <w:t xml:space="preserve">Production‑Grade Blockchain Network</w:t>
            </w:r>
          </w:p>
        </w:tc>
        <w:tc>
          <w:tcPr/>
          <w:p>
            <w:pPr>
              <w:pStyle w:val="Compact"/>
            </w:pPr>
            <w:r>
              <w:t xml:space="preserve">Explanation</w:t>
            </w:r>
          </w:p>
        </w:tc>
      </w:tr>
      <w:tr>
        <w:tc>
          <w:tcPr/>
          <w:p>
            <w:pPr>
              <w:pStyle w:val="Compact"/>
            </w:pPr>
            <w:r>
              <w:rPr>
                <w:b/>
                <w:bCs/>
              </w:rPr>
              <w:t xml:space="preserve">Network Scale &amp; Deployment</w:t>
            </w:r>
          </w:p>
        </w:tc>
        <w:tc>
          <w:tcPr/>
          <w:p>
            <w:pPr>
              <w:pStyle w:val="Compact"/>
            </w:pPr>
            <w:r>
              <w:t xml:space="preserve">Runs a small number of nodes in Docker containers on a single machine or local cluster. Uses simple networking via Docker Compose.</w:t>
            </w:r>
          </w:p>
        </w:tc>
        <w:tc>
          <w:tcPr/>
          <w:p>
            <w:pPr>
              <w:pStyle w:val="Compact"/>
            </w:pPr>
            <w:r>
              <w:t xml:space="preserve">Runs thousands of nodes distributed across the globe, often across different organisations and data centres. Uses robust cloud infrastructure (Kubernetes, bare metal, multiple regions) with redundancy and failover.</w:t>
            </w:r>
          </w:p>
        </w:tc>
        <w:tc>
          <w:tcPr/>
          <w:p>
            <w:pPr>
              <w:pStyle w:val="Compact"/>
            </w:pPr>
            <w:r>
              <w:t xml:space="preserve">Production networks prioritise decentralisation, fault tolerance, global distribution and resilience.</w:t>
            </w:r>
          </w:p>
        </w:tc>
      </w:tr>
      <w:tr>
        <w:tc>
          <w:tcPr/>
          <w:p>
            <w:pPr>
              <w:pStyle w:val="Compact"/>
            </w:pPr>
            <w:r>
              <w:rPr>
                <w:b/>
                <w:bCs/>
              </w:rPr>
              <w:t xml:space="preserve">Consensus Algorithm</w:t>
            </w:r>
          </w:p>
        </w:tc>
        <w:tc>
          <w:tcPr/>
          <w:p>
            <w:pPr>
              <w:pStyle w:val="Compact"/>
            </w:pPr>
            <w:r>
              <w:t xml:space="preserve">Implements a simplified consensus (e.g., Proof‑of‑Authority or simplified Proof‑of‑Stake) suitable for demonstration.</w:t>
            </w:r>
          </w:p>
        </w:tc>
        <w:tc>
          <w:tcPr/>
          <w:p>
            <w:pPr>
              <w:pStyle w:val="Compact"/>
            </w:pPr>
            <w:r>
              <w:t xml:space="preserve">Uses battle‑tested consensus mechanisms like Proof‑of‑Work (Bitcoin), Proof‑of‑Stake (Ethereum), Delegated Proof‑of‑Stake, or Byzantine fault‑tolerant algorithms. These are rigorously analysed for security and scalability</w:t>
            </w:r>
            <w:hyperlink r:id="rId21">
              <w:r>
                <w:rPr>
                  <w:rStyle w:val="Hyperlink"/>
                </w:rPr>
                <w:t xml:space="preserve">[1]</w:t>
              </w:r>
            </w:hyperlink>
            <w:r>
              <w:t xml:space="preserve">.</w:t>
            </w:r>
          </w:p>
        </w:tc>
        <w:tc>
          <w:tcPr/>
          <w:p>
            <w:pPr>
              <w:pStyle w:val="Compact"/>
            </w:pPr>
            <w:r>
              <w:t xml:space="preserve">The educational network emphasises clarity over security; production networks must resist attacks and achieve finality at scale.</w:t>
            </w:r>
          </w:p>
        </w:tc>
      </w:tr>
      <w:tr>
        <w:tc>
          <w:tcPr/>
          <w:p>
            <w:pPr>
              <w:pStyle w:val="Compact"/>
            </w:pPr>
            <w:r>
              <w:rPr>
                <w:b/>
                <w:bCs/>
              </w:rPr>
              <w:t xml:space="preserve">Performance &amp; Throughput</w:t>
            </w:r>
          </w:p>
        </w:tc>
        <w:tc>
          <w:tcPr/>
          <w:p>
            <w:pPr>
              <w:pStyle w:val="Compact"/>
            </w:pPr>
            <w:r>
              <w:t xml:space="preserve">Transactions per second (TPS) and latency are limited due to Python implementation and small node count. Suitable for classroom experiments.</w:t>
            </w:r>
          </w:p>
        </w:tc>
        <w:tc>
          <w:tcPr/>
          <w:p>
            <w:pPr>
              <w:pStyle w:val="Compact"/>
            </w:pPr>
            <w:r>
              <w:t xml:space="preserve">Designed for high throughput and low latency. Enterprise networks like Hyperledger Fabric require high transaction throughput and low confirmation latency</w:t>
            </w:r>
            <w:hyperlink r:id="rId21">
              <w:r>
                <w:rPr>
                  <w:rStyle w:val="Hyperlink"/>
                </w:rPr>
                <w:t xml:space="preserve">[1]</w:t>
              </w:r>
            </w:hyperlink>
            <w:r>
              <w:t xml:space="preserve">. Public networks like Solana target thousands of TPS.</w:t>
            </w:r>
          </w:p>
        </w:tc>
        <w:tc>
          <w:tcPr/>
          <w:p>
            <w:pPr>
              <w:pStyle w:val="Compact"/>
            </w:pPr>
            <w:r>
              <w:t xml:space="preserve">Real networks use highly optimised languages (C++, Rust, Go) and advanced networking to achieve performance goals.</w:t>
            </w:r>
          </w:p>
        </w:tc>
      </w:tr>
      <w:tr>
        <w:tc>
          <w:tcPr/>
          <w:p>
            <w:pPr>
              <w:pStyle w:val="Compact"/>
            </w:pPr>
            <w:r>
              <w:rPr>
                <w:b/>
                <w:bCs/>
              </w:rPr>
              <w:t xml:space="preserve">Security &amp; Key Management</w:t>
            </w:r>
          </w:p>
        </w:tc>
        <w:tc>
          <w:tcPr/>
          <w:p>
            <w:pPr>
              <w:pStyle w:val="Compact"/>
            </w:pPr>
            <w:r>
              <w:t xml:space="preserve">Uses software libraries for key management; may use software‑based HSM or local file storage. Multi‑signature support implemented at high level.</w:t>
            </w:r>
          </w:p>
        </w:tc>
        <w:tc>
          <w:tcPr/>
          <w:p>
            <w:pPr>
              <w:pStyle w:val="Compact"/>
            </w:pPr>
            <w:r>
              <w:t xml:space="preserve">Employs hardware security modules (FIPS‑certified HSMs), secure enclaves and custodial services. Multi‑signature wallets, threshold signatures and cold storage are standard practices</w:t>
            </w:r>
            <w:hyperlink r:id="rId22">
              <w:r>
                <w:rPr>
                  <w:rStyle w:val="Hyperlink"/>
                </w:rPr>
                <w:t xml:space="preserve">[2]</w:t>
              </w:r>
            </w:hyperlink>
            <w:r>
              <w:t xml:space="preserve">.</w:t>
            </w:r>
          </w:p>
        </w:tc>
        <w:tc>
          <w:tcPr/>
          <w:p>
            <w:pPr>
              <w:pStyle w:val="Compact"/>
            </w:pPr>
            <w:r>
              <w:t xml:space="preserve">Production networks must protect real assets; they invest heavily in hardware security and third‑party audits.</w:t>
            </w:r>
          </w:p>
        </w:tc>
      </w:tr>
      <w:tr>
        <w:tc>
          <w:tcPr/>
          <w:p>
            <w:pPr>
              <w:pStyle w:val="Compact"/>
            </w:pPr>
            <w:r>
              <w:rPr>
                <w:b/>
                <w:bCs/>
              </w:rPr>
              <w:t xml:space="preserve">KYC/AML Integration</w:t>
            </w:r>
          </w:p>
        </w:tc>
        <w:tc>
          <w:tcPr/>
          <w:p>
            <w:pPr>
              <w:pStyle w:val="Compact"/>
            </w:pPr>
            <w:r>
              <w:t xml:space="preserve">Integrates KYC using off‑chain storage and blockchain‑based hashes to familiarise developers with compliance. KYC data stored in local database; only hashed pointers stored on chain</w:t>
            </w:r>
            <w:hyperlink r:id="rId23">
              <w:r>
                <w:rPr>
                  <w:rStyle w:val="Hyperlink"/>
                </w:rPr>
                <w:t xml:space="preserve">[3]</w:t>
              </w:r>
            </w:hyperlink>
            <w:r>
              <w:t xml:space="preserve">.</w:t>
            </w:r>
          </w:p>
        </w:tc>
        <w:tc>
          <w:tcPr/>
          <w:p>
            <w:pPr>
              <w:pStyle w:val="Compact"/>
            </w:pPr>
            <w:r>
              <w:t xml:space="preserve">Public blockchains are usually permissionless and do not enforce KYC at protocol level. Exchanges and regulated DeFi protocols perform off‑chain KYC to comply with law. Permissioned enterprise blockchains like Hyperledger Fabric require identified participants and compliance with KYC/AML rules</w:t>
            </w:r>
            <w:hyperlink r:id="rId24">
              <w:r>
                <w:rPr>
                  <w:rStyle w:val="Hyperlink"/>
                </w:rPr>
                <w:t xml:space="preserve">[4]</w:t>
              </w:r>
            </w:hyperlink>
            <w:r>
              <w:t xml:space="preserve">.</w:t>
            </w:r>
          </w:p>
        </w:tc>
        <w:tc>
          <w:tcPr/>
          <w:p>
            <w:pPr>
              <w:pStyle w:val="Compact"/>
            </w:pPr>
            <w:r>
              <w:t xml:space="preserve">Production networks either operate permissionlessly or integrate robust KYC/AML processes externally; educational projects simplify these processes.</w:t>
            </w:r>
          </w:p>
        </w:tc>
      </w:tr>
      <w:tr>
        <w:tc>
          <w:tcPr/>
          <w:p>
            <w:pPr>
              <w:pStyle w:val="Compact"/>
            </w:pPr>
            <w:r>
              <w:rPr>
                <w:b/>
                <w:bCs/>
              </w:rPr>
              <w:t xml:space="preserve">Microservice Implementation</w:t>
            </w:r>
          </w:p>
        </w:tc>
        <w:tc>
          <w:tcPr/>
          <w:p>
            <w:pPr>
              <w:pStyle w:val="Compact"/>
            </w:pPr>
            <w:r>
              <w:t xml:space="preserve">Services implemented in Python using frameworks such as FastAPI, with some optional components in Rust/Go. Focus on readability and ease of understanding.</w:t>
            </w:r>
          </w:p>
        </w:tc>
        <w:tc>
          <w:tcPr/>
          <w:p>
            <w:pPr>
              <w:pStyle w:val="Compact"/>
            </w:pPr>
            <w:r>
              <w:t xml:space="preserve">Core blockchain clients are written in highly optimised languages (C++, Rust, Go) to achieve low latency and high reliability</w:t>
            </w:r>
            <w:hyperlink r:id="rId25">
              <w:r>
                <w:rPr>
                  <w:rStyle w:val="Hyperlink"/>
                </w:rPr>
                <w:t xml:space="preserve">[5]</w:t>
              </w:r>
            </w:hyperlink>
            <w:r>
              <w:t xml:space="preserve">. Microservices for exchanges use languages like Java, Kotlin, Rust or C++ for the matching engine and Go for infrastructure components.</w:t>
            </w:r>
          </w:p>
        </w:tc>
        <w:tc>
          <w:tcPr/>
          <w:p>
            <w:pPr>
              <w:pStyle w:val="Compact"/>
            </w:pPr>
            <w:r>
              <w:t xml:space="preserve">Python is excellent for prototyping but lacks the performance needed for production matching engines or consensus.</w:t>
            </w:r>
          </w:p>
        </w:tc>
      </w:tr>
      <w:tr>
        <w:tc>
          <w:tcPr/>
          <w:p>
            <w:pPr>
              <w:pStyle w:val="Compact"/>
            </w:pPr>
            <w:r>
              <w:rPr>
                <w:b/>
                <w:bCs/>
              </w:rPr>
              <w:t xml:space="preserve">Infrastructure &amp; Networking</w:t>
            </w:r>
          </w:p>
        </w:tc>
        <w:tc>
          <w:tcPr/>
          <w:p>
            <w:pPr>
              <w:pStyle w:val="Compact"/>
            </w:pPr>
            <w:r>
              <w:t xml:space="preserve">Deploys microservices via Docker Compose with tiered networks for security</w:t>
            </w:r>
            <w:hyperlink r:id="rId26">
              <w:r>
                <w:rPr>
                  <w:rStyle w:val="Hyperlink"/>
                </w:rPr>
                <w:t xml:space="preserve">[6]</w:t>
              </w:r>
            </w:hyperlink>
            <w:r>
              <w:t xml:space="preserve">. Limited to single‑host networks or simple clusters.</w:t>
            </w:r>
          </w:p>
        </w:tc>
        <w:tc>
          <w:tcPr/>
          <w:p>
            <w:pPr>
              <w:pStyle w:val="Compact"/>
            </w:pPr>
            <w:r>
              <w:t xml:space="preserve">Uses Kubernetes, service mesh (Istio or Linkerd), network policies, overlay networks (Cilium, Calico) and global load balancers. Implements cross‑region replication, auto‑scaling and high availability.</w:t>
            </w:r>
          </w:p>
        </w:tc>
        <w:tc>
          <w:tcPr/>
          <w:p>
            <w:pPr>
              <w:pStyle w:val="Compact"/>
            </w:pPr>
            <w:r>
              <w:t xml:space="preserve">Production environments require sophisticated orchestration, monitoring and scaling.</w:t>
            </w:r>
          </w:p>
        </w:tc>
      </w:tr>
      <w:tr>
        <w:tc>
          <w:tcPr/>
          <w:p>
            <w:pPr>
              <w:pStyle w:val="Compact"/>
            </w:pPr>
            <w:r>
              <w:rPr>
                <w:b/>
                <w:bCs/>
              </w:rPr>
              <w:t xml:space="preserve">Logging &amp; Monitoring</w:t>
            </w:r>
          </w:p>
        </w:tc>
        <w:tc>
          <w:tcPr/>
          <w:p>
            <w:pPr>
              <w:pStyle w:val="Compact"/>
            </w:pPr>
            <w:r>
              <w:t xml:space="preserve">Implements centralised logging via ELK stack; logs are streamed to a single Elasticsearch cluster. Audit logs store event name, timestamp, actor and impacted entity</w:t>
            </w:r>
            <w:hyperlink r:id="rId27">
              <w:r>
                <w:rPr>
                  <w:rStyle w:val="Hyperlink"/>
                </w:rPr>
                <w:t xml:space="preserve">[7]</w:t>
              </w:r>
            </w:hyperlink>
            <w:r>
              <w:t xml:space="preserve">.</w:t>
            </w:r>
          </w:p>
        </w:tc>
        <w:tc>
          <w:tcPr/>
          <w:p>
            <w:pPr>
              <w:pStyle w:val="Compact"/>
            </w:pPr>
            <w:r>
              <w:t xml:space="preserve">Production networks implement distributed observability: logs, metrics and traces across thousands of nodes. They use multiple logging pipelines (ELK, Splunk, Datadog) with data retention policies and tamper‑evident storage. Blockchain transactions themselves act as an immutable log.</w:t>
            </w:r>
          </w:p>
        </w:tc>
        <w:tc>
          <w:tcPr/>
          <w:p>
            <w:pPr>
              <w:pStyle w:val="Compact"/>
            </w:pPr>
            <w:r>
              <w:t xml:space="preserve">Monitoring and logging scale to petabyte volumes with strict compliance and retention requirements.</w:t>
            </w:r>
          </w:p>
        </w:tc>
      </w:tr>
      <w:tr>
        <w:tc>
          <w:tcPr/>
          <w:p>
            <w:pPr>
              <w:pStyle w:val="Compact"/>
            </w:pPr>
            <w:r>
              <w:rPr>
                <w:b/>
                <w:bCs/>
              </w:rPr>
              <w:t xml:space="preserve">Regulatory &amp; Legal Compliance</w:t>
            </w:r>
          </w:p>
        </w:tc>
        <w:tc>
          <w:tcPr/>
          <w:p>
            <w:pPr>
              <w:pStyle w:val="Compact"/>
            </w:pPr>
            <w:r>
              <w:t xml:space="preserve">Designed for educational use; no legal compliance is enforced beyond KYC demonstration.</w:t>
            </w:r>
          </w:p>
        </w:tc>
        <w:tc>
          <w:tcPr/>
          <w:p>
            <w:pPr>
              <w:pStyle w:val="Compact"/>
            </w:pPr>
            <w:r>
              <w:t xml:space="preserve">Real‑world exchanges and blockchain projects must comply with international regulations (e.g., AML/KYC, GDPR, SEC guidelines). They require legal counsel, licensing (money transmitter licences) and regular audits.</w:t>
            </w:r>
          </w:p>
        </w:tc>
        <w:tc>
          <w:tcPr/>
          <w:p>
            <w:pPr>
              <w:pStyle w:val="Compact"/>
            </w:pPr>
            <w:r>
              <w:t xml:space="preserve">Complying with global regulations is complex and costly; the educational network cannot replicate all legal frameworks.</w:t>
            </w:r>
          </w:p>
        </w:tc>
      </w:tr>
      <w:tr>
        <w:tc>
          <w:tcPr/>
          <w:p>
            <w:pPr>
              <w:pStyle w:val="Compact"/>
            </w:pPr>
            <w:r>
              <w:rPr>
                <w:b/>
                <w:bCs/>
              </w:rPr>
              <w:t xml:space="preserve">Economic Incentives</w:t>
            </w:r>
          </w:p>
        </w:tc>
        <w:tc>
          <w:tcPr/>
          <w:p>
            <w:pPr>
              <w:pStyle w:val="Compact"/>
            </w:pPr>
            <w:r>
              <w:t xml:space="preserve">No real monetary value; tokens used for demonstration have no economic consequences.</w:t>
            </w:r>
          </w:p>
        </w:tc>
        <w:tc>
          <w:tcPr/>
          <w:p>
            <w:pPr>
              <w:pStyle w:val="Compact"/>
            </w:pPr>
            <w:r>
              <w:t xml:space="preserve">Cryptocurrencies in production networks hold real value; security breaches can lead to financial loss. Networks implement tokenomics, staking incentives, inflation schedules and reward mechanisms.</w:t>
            </w:r>
          </w:p>
        </w:tc>
        <w:tc>
          <w:tcPr/>
          <w:p>
            <w:pPr>
              <w:pStyle w:val="Compact"/>
            </w:pPr>
            <w:r>
              <w:t xml:space="preserve">Without real economic incentives, the educational network cannot fully simulate behaviours such as miner incentives, staking rewards or market manipulation.</w:t>
            </w:r>
          </w:p>
        </w:tc>
      </w:tr>
      <w:tr>
        <w:tc>
          <w:tcPr/>
          <w:p>
            <w:pPr>
              <w:pStyle w:val="Compact"/>
            </w:pPr>
            <w:r>
              <w:rPr>
                <w:b/>
                <w:bCs/>
              </w:rPr>
              <w:t xml:space="preserve">Community &amp; Governance</w:t>
            </w:r>
          </w:p>
        </w:tc>
        <w:tc>
          <w:tcPr/>
          <w:p>
            <w:pPr>
              <w:pStyle w:val="Compact"/>
            </w:pPr>
            <w:r>
              <w:t xml:space="preserve">Operated by a small group of students or developers; governance decisions are centralised.</w:t>
            </w:r>
          </w:p>
        </w:tc>
        <w:tc>
          <w:tcPr/>
          <w:p>
            <w:pPr>
              <w:pStyle w:val="Compact"/>
            </w:pPr>
            <w:r>
              <w:t xml:space="preserve">Governed by decentralised communities or consortiums. Protocol upgrades require community consensus (via on‑chain voting or off‑chain governance).</w:t>
            </w:r>
          </w:p>
        </w:tc>
        <w:tc>
          <w:tcPr/>
          <w:p>
            <w:pPr>
              <w:pStyle w:val="Compact"/>
            </w:pPr>
            <w:r>
              <w:t xml:space="preserve">Community governance influences network upgrades, token economics and dispute resolution.</w:t>
            </w:r>
          </w:p>
        </w:tc>
      </w:tr>
      <w:tr>
        <w:tc>
          <w:tcPr/>
          <w:p>
            <w:pPr>
              <w:pStyle w:val="Compact"/>
            </w:pPr>
            <w:r>
              <w:rPr>
                <w:b/>
                <w:bCs/>
              </w:rPr>
              <w:t xml:space="preserve">Third‑party Integrations</w:t>
            </w:r>
          </w:p>
        </w:tc>
        <w:tc>
          <w:tcPr/>
          <w:p>
            <w:pPr>
              <w:pStyle w:val="Compact"/>
            </w:pPr>
            <w:r>
              <w:t xml:space="preserve">Few or no external integrations beyond basic KYC provider.</w:t>
            </w:r>
          </w:p>
        </w:tc>
        <w:tc>
          <w:tcPr/>
          <w:p>
            <w:pPr>
              <w:pStyle w:val="Compact"/>
            </w:pPr>
            <w:r>
              <w:t xml:space="preserve">Production networks integrate with external services: liquidity providers, cross‑chain bridges, oracles (Chainlink), fiat on‑ramps/off‑ramps, payment processors, and DeFi protocols.</w:t>
            </w:r>
          </w:p>
        </w:tc>
        <w:tc>
          <w:tcPr/>
          <w:p>
            <w:pPr>
              <w:pStyle w:val="Compact"/>
            </w:pPr>
            <w:r>
              <w:t xml:space="preserve">Integration complexity is high; reliability and security of external services impact the network.</w:t>
            </w:r>
          </w:p>
        </w:tc>
      </w:tr>
      <w:tr>
        <w:tc>
          <w:tcPr/>
          <w:p>
            <w:pPr>
              <w:pStyle w:val="Compact"/>
            </w:pPr>
            <w:r>
              <w:rPr>
                <w:b/>
                <w:bCs/>
              </w:rPr>
              <w:t xml:space="preserve">User Experience</w:t>
            </w:r>
          </w:p>
        </w:tc>
        <w:tc>
          <w:tcPr/>
          <w:p>
            <w:pPr>
              <w:pStyle w:val="Compact"/>
            </w:pPr>
            <w:r>
              <w:t xml:space="preserve">Simplified wallet UI and limited feature set focusing on sending/receiving tokens and viewing history</w:t>
            </w:r>
            <w:hyperlink r:id="rId28">
              <w:r>
                <w:rPr>
                  <w:rStyle w:val="Hyperlink"/>
                </w:rPr>
                <w:t xml:space="preserve">[8]</w:t>
              </w:r>
            </w:hyperlink>
            <w:r>
              <w:t xml:space="preserve">.</w:t>
            </w:r>
          </w:p>
        </w:tc>
        <w:tc>
          <w:tcPr/>
          <w:p>
            <w:pPr>
              <w:pStyle w:val="Compact"/>
            </w:pPr>
            <w:r>
              <w:t xml:space="preserve">Mature wallets provide advanced features such as staking, token swaps, NFT management, DeFi interactions, cross‑chain bridges, hardware wallet integration, and multi‑language support.</w:t>
            </w:r>
          </w:p>
        </w:tc>
        <w:tc>
          <w:tcPr/>
          <w:p>
            <w:pPr>
              <w:pStyle w:val="Compact"/>
            </w:pPr>
            <w:r>
              <w:t xml:space="preserve">The educational project demonstrates basics; real networks offer comprehensive functionality and polished UX across mobile, web, desktop and hardware.</w:t>
            </w:r>
          </w:p>
        </w:tc>
      </w:tr>
    </w:tbl>
    <w:p>
      <w:pPr>
        <w:pStyle w:val="BodyText"/>
      </w:pPr>
      <w:r>
        <w:t xml:space="preserve">These differences highlight why the educational network is suitable for learning but not for securing real assets or handling large volumes of transactions. Building a production blockchain network requires significant investment in security, performance engineering, regulatory compliance and community governance.</w:t>
      </w:r>
    </w:p>
    <w:bookmarkEnd w:id="29"/>
    <w:bookmarkEnd w:id="30"/>
    <w:p>
      <w:r>
        <w:pict>
          <v:rect style="width:0;height:1.5pt" o:hralign="center" o:hrstd="t" o:hr="t"/>
        </w:pict>
      </w:r>
    </w:p>
    <w:bookmarkStart w:id="37"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r>
        <w:t xml:space="preserve">Introduction — Hyperledger Fabric Docs main documentation</w:t>
      </w:r>
    </w:p>
    <w:p>
      <w:pPr>
        <w:pStyle w:val="BodyText"/>
      </w:pPr>
      <w:hyperlink r:id="rId31">
        <w:r>
          <w:rPr>
            <w:rStyle w:val="Hyperlink"/>
          </w:rPr>
          <w:t xml:space="preserve">https://hyperledger-fabric.readthedocs.io/en/latest/whatis.html</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r>
        <w:t xml:space="preserve">Crypto Exchange Architecture Design: A Practical Guide for Developers - DEV Community</w:t>
      </w:r>
    </w:p>
    <w:p>
      <w:pPr>
        <w:pStyle w:val="BodyText"/>
      </w:pPr>
      <w:hyperlink r:id="rId32">
        <w:r>
          <w:rPr>
            <w:rStyle w:val="Hyperlink"/>
          </w:rPr>
          <w:t xml:space="preserve">https://dev.to/riley_quinn_8e58a0a96d107/crypto-exchange-architecture-design-a-practical-guide-for-developers-183f</w:t>
        </w:r>
      </w:hyperlink>
    </w:p>
    <w:p>
      <w:pPr>
        <w:pStyle w:val="BodyText"/>
      </w:pPr>
      <w:hyperlink r:id="rId23">
        <w:r>
          <w:rPr>
            <w:rStyle w:val="Hyperlink"/>
          </w:rPr>
          <w:t xml:space="preserve">[3]</w:t>
        </w:r>
      </w:hyperlink>
      <w:r>
        <w:t xml:space="preserve"> </w:t>
      </w:r>
      <w:r>
        <w:t xml:space="preserve">Blockchain KYC: The Future of Secure Customer Verification</w:t>
      </w:r>
    </w:p>
    <w:p>
      <w:pPr>
        <w:pStyle w:val="BodyText"/>
      </w:pPr>
      <w:hyperlink r:id="rId33">
        <w:r>
          <w:rPr>
            <w:rStyle w:val="Hyperlink"/>
          </w:rPr>
          <w:t xml:space="preserve">https://authbridge.com/blog/blockchain-based-kyc/</w:t>
        </w:r>
      </w:hyperlink>
    </w:p>
    <w:p>
      <w:pPr>
        <w:pStyle w:val="BodyText"/>
      </w:pPr>
      <w:hyperlink r:id="rId26">
        <w:r>
          <w:rPr>
            <w:rStyle w:val="Hyperlink"/>
          </w:rPr>
          <w:t xml:space="preserve">[6]</w:t>
        </w:r>
      </w:hyperlink>
      <w:r>
        <w:t xml:space="preserve"> </w:t>
      </w:r>
      <w:r>
        <w:t xml:space="preserve"> </w:t>
      </w:r>
      <w:r>
        <w:t xml:space="preserve">How to Design Docker Networks for Microservices</w:t>
      </w:r>
      <w:r>
        <w:t xml:space="preserve"> </w:t>
      </w:r>
    </w:p>
    <w:p>
      <w:pPr>
        <w:pStyle w:val="BodyText"/>
      </w:pPr>
      <w:hyperlink r:id="rId34">
        <w:r>
          <w:rPr>
            <w:rStyle w:val="Hyperlink"/>
          </w:rPr>
          <w:t xml:space="preserve">https://oneuptime.com/blog/post/2026-02-08-how-to-design-docker-networks-for-microservices/view</w:t>
        </w:r>
      </w:hyperlink>
    </w:p>
    <w:p>
      <w:pPr>
        <w:pStyle w:val="BodyText"/>
      </w:pPr>
      <w:hyperlink r:id="rId27">
        <w:r>
          <w:rPr>
            <w:rStyle w:val="Hyperlink"/>
          </w:rPr>
          <w:t xml:space="preserve">[7]</w:t>
        </w:r>
      </w:hyperlink>
      <w:r>
        <w:t xml:space="preserve"> </w:t>
      </w:r>
      <w:r>
        <w:t xml:space="preserve">Audit Logging: What It Is &amp; How It Works | Datadog</w:t>
      </w:r>
    </w:p>
    <w:p>
      <w:pPr>
        <w:pStyle w:val="BodyText"/>
      </w:pPr>
      <w:hyperlink r:id="rId35">
        <w:r>
          <w:rPr>
            <w:rStyle w:val="Hyperlink"/>
          </w:rPr>
          <w:t xml:space="preserve">https://www.datadoghq.com/knowledge-center/audit-logging/</w:t>
        </w:r>
      </w:hyperlink>
    </w:p>
    <w:p>
      <w:pPr>
        <w:pStyle w:val="BodyText"/>
      </w:pPr>
      <w:hyperlink r:id="rId28">
        <w:r>
          <w:rPr>
            <w:rStyle w:val="Hyperlink"/>
          </w:rPr>
          <w:t xml:space="preserve">[8]</w:t>
        </w:r>
      </w:hyperlink>
      <w:r>
        <w:t xml:space="preserve"> </w:t>
      </w:r>
      <w:r>
        <w:t xml:space="preserve">Cryptocurrency Exchange Architecture - Easy Blueprint For Startups</w:t>
      </w:r>
    </w:p>
    <w:p>
      <w:pPr>
        <w:pStyle w:val="BodyText"/>
      </w:pPr>
      <w:hyperlink r:id="rId36">
        <w:r>
          <w:rPr>
            <w:rStyle w:val="Hyperlink"/>
          </w:rPr>
          <w:t xml:space="preserve">https://www.coinsclone.com/cryptocurrency-exchange-architecture/</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authbridge.com/blog/blockchain-based-kyc/" TargetMode="External" /><Relationship Type="http://schemas.openxmlformats.org/officeDocument/2006/relationships/hyperlink" Id="rId23" Target="https://authbridge.com/blog/blockchain-based-kyc/#:~:text=Blockchain,improve%20compliance%20with%20regulatory%20requirements" TargetMode="External" /><Relationship Type="http://schemas.openxmlformats.org/officeDocument/2006/relationships/hyperlink" Id="rId32" Target="https://dev.to/riley_quinn_8e58a0a96d107/crypto-exchange-architecture-design-a-practical-guide-for-developers-183f" TargetMode="External" /><Relationship Type="http://schemas.openxmlformats.org/officeDocument/2006/relationships/hyperlink" Id="rId25" Target="https://dev.to/riley_quinn_8e58a0a96d107/crypto-exchange-architecture-design-a-practical-guide-for-developers-183f#:~:text=,Golang" TargetMode="External" /><Relationship Type="http://schemas.openxmlformats.org/officeDocument/2006/relationships/hyperlink" Id="rId22" Target="https://dev.to/riley_quinn_8e58a0a96d107/crypto-exchange-architecture-design-a-practical-guide-for-developers-183f#:~:text=4,Cold%20Wallets" TargetMode="External" /><Relationship Type="http://schemas.openxmlformats.org/officeDocument/2006/relationships/hyperlink" Id="rId31" Target="https://hyperledger-fabric.readthedocs.io/en/latest/whatis.html" TargetMode="External" /><Relationship Type="http://schemas.openxmlformats.org/officeDocument/2006/relationships/hyperlink" Id="rId21" Target="https://hyperledger-fabric.readthedocs.io/en/latest/whatis.html#:~:text=For%20enterprise%20use%2C%20we%20need,to%20consider%20the%20following%20requirements" TargetMode="External" /><Relationship Type="http://schemas.openxmlformats.org/officeDocument/2006/relationships/hyperlink" Id="rId24" Target="https://hyperledger-fabric.readthedocs.io/en/latest/whatis.html#:~:text=performance%20characteristics%20that%20permissionless%20blockchain,regulations%20must%20be%20followed" TargetMode="External" /><Relationship Type="http://schemas.openxmlformats.org/officeDocument/2006/relationships/hyperlink" Id="rId34" Target="https://oneuptime.com/blog/post/2026-02-08-how-to-design-docker-networks-for-microservices/view" TargetMode="External" /><Relationship Type="http://schemas.openxmlformats.org/officeDocument/2006/relationships/hyperlink" Id="rId26" Target="https://oneuptime.com/blog/post/2026-02-08-how-to-design-docker-networks-for-microservices/view#:~:text=The%20most%20common%20pattern%20organizes,tiers%20based%20on%20exposure%20level" TargetMode="External" /><Relationship Type="http://schemas.openxmlformats.org/officeDocument/2006/relationships/hyperlink" Id="rId36" Target="https://www.coinsclone.com/cryptocurrency-exchange-architecture/" TargetMode="External" /><Relationship Type="http://schemas.openxmlformats.org/officeDocument/2006/relationships/hyperlink" Id="rId28" Target="https://www.coinsclone.com/cryptocurrency-exchange-architecture/#:~:text=,jail%20login%2C%20escrow%20protection%2C%20etc" TargetMode="External" /><Relationship Type="http://schemas.openxmlformats.org/officeDocument/2006/relationships/hyperlink" Id="rId35" Target="https://www.datadoghq.com/knowledge-center/audit-logging/" TargetMode="External" /><Relationship Type="http://schemas.openxmlformats.org/officeDocument/2006/relationships/hyperlink" Id="rId27" Target="https://www.datadoghq.com/knowledge-center/audit-logging/#:~:text=What%20is%20Audit%20Logging%3F" TargetMode="External" /></Relationships>
</file>

<file path=word/_rels/footnotes.xml.rels><?xml version="1.0" encoding="UTF-8"?><Relationships xmlns="http://schemas.openxmlformats.org/package/2006/relationships"><Relationship Type="http://schemas.openxmlformats.org/officeDocument/2006/relationships/hyperlink" Id="rId33" Target="https://authbridge.com/blog/blockchain-based-kyc/" TargetMode="External" /><Relationship Type="http://schemas.openxmlformats.org/officeDocument/2006/relationships/hyperlink" Id="rId23" Target="https://authbridge.com/blog/blockchain-based-kyc/#:~:text=Blockchain,improve%20compliance%20with%20regulatory%20requirements" TargetMode="External" /><Relationship Type="http://schemas.openxmlformats.org/officeDocument/2006/relationships/hyperlink" Id="rId32" Target="https://dev.to/riley_quinn_8e58a0a96d107/crypto-exchange-architecture-design-a-practical-guide-for-developers-183f" TargetMode="External" /><Relationship Type="http://schemas.openxmlformats.org/officeDocument/2006/relationships/hyperlink" Id="rId25" Target="https://dev.to/riley_quinn_8e58a0a96d107/crypto-exchange-architecture-design-a-practical-guide-for-developers-183f#:~:text=,Golang" TargetMode="External" /><Relationship Type="http://schemas.openxmlformats.org/officeDocument/2006/relationships/hyperlink" Id="rId22" Target="https://dev.to/riley_quinn_8e58a0a96d107/crypto-exchange-architecture-design-a-practical-guide-for-developers-183f#:~:text=4,Cold%20Wallets" TargetMode="External" /><Relationship Type="http://schemas.openxmlformats.org/officeDocument/2006/relationships/hyperlink" Id="rId31" Target="https://hyperledger-fabric.readthedocs.io/en/latest/whatis.html" TargetMode="External" /><Relationship Type="http://schemas.openxmlformats.org/officeDocument/2006/relationships/hyperlink" Id="rId21" Target="https://hyperledger-fabric.readthedocs.io/en/latest/whatis.html#:~:text=For%20enterprise%20use%2C%20we%20need,to%20consider%20the%20following%20requirements" TargetMode="External" /><Relationship Type="http://schemas.openxmlformats.org/officeDocument/2006/relationships/hyperlink" Id="rId24" Target="https://hyperledger-fabric.readthedocs.io/en/latest/whatis.html#:~:text=performance%20characteristics%20that%20permissionless%20blockchain,regulations%20must%20be%20followed" TargetMode="External" /><Relationship Type="http://schemas.openxmlformats.org/officeDocument/2006/relationships/hyperlink" Id="rId34" Target="https://oneuptime.com/blog/post/2026-02-08-how-to-design-docker-networks-for-microservices/view" TargetMode="External" /><Relationship Type="http://schemas.openxmlformats.org/officeDocument/2006/relationships/hyperlink" Id="rId26" Target="https://oneuptime.com/blog/post/2026-02-08-how-to-design-docker-networks-for-microservices/view#:~:text=The%20most%20common%20pattern%20organizes,tiers%20based%20on%20exposure%20level" TargetMode="External" /><Relationship Type="http://schemas.openxmlformats.org/officeDocument/2006/relationships/hyperlink" Id="rId36" Target="https://www.coinsclone.com/cryptocurrency-exchange-architecture/" TargetMode="External" /><Relationship Type="http://schemas.openxmlformats.org/officeDocument/2006/relationships/hyperlink" Id="rId28" Target="https://www.coinsclone.com/cryptocurrency-exchange-architecture/#:~:text=,jail%20login%2C%20escrow%20protection%2C%20etc" TargetMode="External" /><Relationship Type="http://schemas.openxmlformats.org/officeDocument/2006/relationships/hyperlink" Id="rId35" Target="https://www.datadoghq.com/knowledge-center/audit-logging/" TargetMode="External" /><Relationship Type="http://schemas.openxmlformats.org/officeDocument/2006/relationships/hyperlink" Id="rId27" Target="https://www.datadoghq.com/knowledge-center/audit-logging/#:~:text=What%20is%20Audit%20Logging%3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2026-03-23T15:54:54Z</dcterms:created>
  <dcterms:modified xsi:type="dcterms:W3CDTF">2026-03-23T15:54:54Z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