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4f3f75ca2bff1e22c07c88f8ff9cdd6eac95b4d"/>
    <w:p>
      <w:pPr>
        <w:pStyle w:val="Heading1"/>
      </w:pPr>
      <w:r>
        <w:t xml:space="preserve">ISO/IEC Security Documentation for the Educational Blockchain Network</w:t>
      </w:r>
    </w:p>
    <w:bookmarkStart w:id="21" w:name="purpose-and-scope"/>
    <w:p>
      <w:pPr>
        <w:pStyle w:val="Heading2"/>
      </w:pPr>
      <w:r>
        <w:t xml:space="preserve">Purpose and Scope</w:t>
      </w:r>
    </w:p>
    <w:p>
      <w:pPr>
        <w:pStyle w:val="FirstParagraph"/>
      </w:pPr>
      <w:r>
        <w:t xml:space="preserve">This document describes how to align the educational blockchain network with the</w:t>
      </w:r>
      <w:r>
        <w:t xml:space="preserve"> </w:t>
      </w:r>
      <w:r>
        <w:rPr>
          <w:b/>
          <w:bCs/>
        </w:rPr>
        <w:t xml:space="preserve">ISO/IEC 27000‑series</w:t>
      </w:r>
      <w:r>
        <w:t xml:space="preserve"> </w:t>
      </w:r>
      <w:r>
        <w:t xml:space="preserve">information‑security standards. The focus is on establishing an</w:t>
      </w:r>
      <w:r>
        <w:t xml:space="preserve"> </w:t>
      </w:r>
      <w:r>
        <w:rPr>
          <w:b/>
          <w:bCs/>
        </w:rPr>
        <w:t xml:space="preserve">Information Security Management System (ISMS)</w:t>
      </w:r>
      <w:r>
        <w:t xml:space="preserve"> </w:t>
      </w:r>
      <w:r>
        <w:t xml:space="preserve">compliant with</w:t>
      </w:r>
      <w:r>
        <w:t xml:space="preserve"> </w:t>
      </w:r>
      <w:r>
        <w:rPr>
          <w:b/>
          <w:bCs/>
        </w:rPr>
        <w:t xml:space="preserve">ISO/IEC 27001</w:t>
      </w:r>
      <w:r>
        <w:t xml:space="preserve"> </w:t>
      </w:r>
      <w:r>
        <w:t xml:space="preserve">and implementing the logging and monitoring requirements of</w:t>
      </w:r>
      <w:r>
        <w:t xml:space="preserve"> </w:t>
      </w:r>
      <w:r>
        <w:rPr>
          <w:b/>
          <w:bCs/>
        </w:rPr>
        <w:t xml:space="preserve">ISO/IEC 27002</w:t>
      </w:r>
      <w:r>
        <w:t xml:space="preserve"> </w:t>
      </w:r>
      <w:r>
        <w:t xml:space="preserve">control 8.15 (</w:t>
      </w:r>
      <w:r>
        <w:rPr>
          <w:i/>
          <w:iCs/>
        </w:rPr>
        <w:t xml:space="preserve">Logging</w:t>
      </w:r>
      <w:r>
        <w:t xml:space="preserve">) and 8.16 (</w:t>
      </w:r>
      <w:r>
        <w:rPr>
          <w:i/>
          <w:iCs/>
        </w:rPr>
        <w:t xml:space="preserve">Monitoring</w:t>
      </w:r>
      <w:r>
        <w:t xml:space="preserve">). Adhering to these standards ensures confidentiality, integrity and availability of the network while providing auditability and forensic traceability.</w:t>
      </w:r>
    </w:p>
    <w:bookmarkEnd w:id="21"/>
    <w:bookmarkStart w:id="28" w:name="isoiec-27001-framework"/>
    <w:p>
      <w:pPr>
        <w:pStyle w:val="Heading2"/>
      </w:pPr>
      <w:r>
        <w:t xml:space="preserve">ISO/IEC 27001 Framework</w:t>
      </w:r>
    </w:p>
    <w:p>
      <w:pPr>
        <w:pStyle w:val="FirstParagraph"/>
      </w:pPr>
      <w:r>
        <w:t xml:space="preserve">ISO/IEC 27001 provides a systematic framework for managing information security. Key components include</w:t>
      </w:r>
      <w:hyperlink r:id="rId22">
        <w:r>
          <w:rPr>
            <w:rStyle w:val="Hyperlink"/>
          </w:rPr>
          <w:t xml:space="preserve">[1]</w:t>
        </w:r>
      </w:hyperlink>
      <w:r>
        <w:t xml:space="preserve">:</w:t>
      </w:r>
    </w:p>
    <w:p>
      <w:pPr>
        <w:pStyle w:val="Compact"/>
        <w:numPr>
          <w:ilvl w:val="0"/>
          <w:numId w:val="1001"/>
        </w:numPr>
      </w:pPr>
      <w:r>
        <w:rPr>
          <w:b/>
          <w:bCs/>
        </w:rPr>
        <w:t xml:space="preserve">Scope and policy development</w:t>
      </w:r>
      <w:r>
        <w:t xml:space="preserve"> </w:t>
      </w:r>
      <w:r>
        <w:t xml:space="preserve">– Define the boundaries of the ISMS and create a security policy that guides implementation</w:t>
      </w:r>
      <w:hyperlink r:id="rId22">
        <w:r>
          <w:rPr>
            <w:rStyle w:val="Hyperlink"/>
          </w:rPr>
          <w:t xml:space="preserve">[2]</w:t>
        </w:r>
      </w:hyperlink>
      <w:r>
        <w:t xml:space="preserve">.</w:t>
      </w:r>
    </w:p>
    <w:p>
      <w:pPr>
        <w:pStyle w:val="Compact"/>
        <w:numPr>
          <w:ilvl w:val="0"/>
          <w:numId w:val="1001"/>
        </w:numPr>
      </w:pPr>
      <w:r>
        <w:rPr>
          <w:b/>
          <w:bCs/>
        </w:rPr>
        <w:t xml:space="preserve">Risk assessment and treatment</w:t>
      </w:r>
      <w:r>
        <w:t xml:space="preserve"> </w:t>
      </w:r>
      <w:r>
        <w:t xml:space="preserve">– Conduct a thorough risk assessment to identify threats and vulnerabilities, then select controls to mitigate or manage those risks</w:t>
      </w:r>
      <w:hyperlink r:id="rId23">
        <w:r>
          <w:rPr>
            <w:rStyle w:val="Hyperlink"/>
          </w:rPr>
          <w:t xml:space="preserve">[3]</w:t>
        </w:r>
      </w:hyperlink>
      <w:r>
        <w:t xml:space="preserve">.</w:t>
      </w:r>
    </w:p>
    <w:p>
      <w:pPr>
        <w:pStyle w:val="Compact"/>
        <w:numPr>
          <w:ilvl w:val="0"/>
          <w:numId w:val="1001"/>
        </w:numPr>
      </w:pPr>
      <w:r>
        <w:rPr>
          <w:b/>
          <w:bCs/>
        </w:rPr>
        <w:t xml:space="preserve">Implementation of controls</w:t>
      </w:r>
      <w:r>
        <w:t xml:space="preserve"> </w:t>
      </w:r>
      <w:r>
        <w:t xml:space="preserve">– ISO/IEC 27001 lists controls across 14 domains such as access control, cryptography, physical security and incident management. Organisations choose appropriate controls based on their risk profile</w:t>
      </w:r>
      <w:hyperlink r:id="rId24">
        <w:r>
          <w:rPr>
            <w:rStyle w:val="Hyperlink"/>
          </w:rPr>
          <w:t xml:space="preserve">[4]</w:t>
        </w:r>
      </w:hyperlink>
      <w:r>
        <w:t xml:space="preserve">.</w:t>
      </w:r>
    </w:p>
    <w:p>
      <w:pPr>
        <w:pStyle w:val="Compact"/>
        <w:numPr>
          <w:ilvl w:val="0"/>
          <w:numId w:val="1001"/>
        </w:numPr>
      </w:pPr>
      <w:r>
        <w:rPr>
          <w:b/>
          <w:bCs/>
        </w:rPr>
        <w:t xml:space="preserve">Documentation and records</w:t>
      </w:r>
      <w:r>
        <w:t xml:space="preserve"> </w:t>
      </w:r>
      <w:r>
        <w:t xml:space="preserve">– Maintain policies, procedures and records to demonstrate compliance and support audits</w:t>
      </w:r>
      <w:hyperlink r:id="rId25">
        <w:r>
          <w:rPr>
            <w:rStyle w:val="Hyperlink"/>
          </w:rPr>
          <w:t xml:space="preserve">[5]</w:t>
        </w:r>
      </w:hyperlink>
      <w:r>
        <w:t xml:space="preserve">.</w:t>
      </w:r>
    </w:p>
    <w:p>
      <w:pPr>
        <w:pStyle w:val="Compact"/>
        <w:numPr>
          <w:ilvl w:val="0"/>
          <w:numId w:val="1001"/>
        </w:numPr>
      </w:pPr>
      <w:r>
        <w:rPr>
          <w:b/>
          <w:bCs/>
        </w:rPr>
        <w:t xml:space="preserve">Monitoring and measurement</w:t>
      </w:r>
      <w:r>
        <w:t xml:space="preserve"> </w:t>
      </w:r>
      <w:r>
        <w:t xml:space="preserve">– Continuously monitor the performance of the ISMS through internal audits, management reviews and incident tracking</w:t>
      </w:r>
      <w:hyperlink r:id="rId26">
        <w:r>
          <w:rPr>
            <w:rStyle w:val="Hyperlink"/>
          </w:rPr>
          <w:t xml:space="preserve">[6]</w:t>
        </w:r>
      </w:hyperlink>
      <w:r>
        <w:t xml:space="preserve">.</w:t>
      </w:r>
    </w:p>
    <w:p>
      <w:pPr>
        <w:pStyle w:val="Compact"/>
        <w:numPr>
          <w:ilvl w:val="0"/>
          <w:numId w:val="1001"/>
        </w:numPr>
      </w:pPr>
      <w:r>
        <w:rPr>
          <w:b/>
          <w:bCs/>
        </w:rPr>
        <w:t xml:space="preserve">Continuous improvement</w:t>
      </w:r>
      <w:r>
        <w:t xml:space="preserve"> </w:t>
      </w:r>
      <w:r>
        <w:t xml:space="preserve">– Follow the Plan–Do–Check–Act (PDCA) cycle to continually improve the ISMS in response to internal and external changes</w:t>
      </w:r>
      <w:hyperlink r:id="rId27">
        <w:r>
          <w:rPr>
            <w:rStyle w:val="Hyperlink"/>
          </w:rPr>
          <w:t xml:space="preserve">[7]</w:t>
        </w:r>
      </w:hyperlink>
      <w:r>
        <w:t xml:space="preserve">.</w:t>
      </w:r>
    </w:p>
    <w:bookmarkEnd w:id="28"/>
    <w:bookmarkStart w:id="49" w:name="Xb3cf887474caa81d6162232aac15601de8d1f3a"/>
    <w:p>
      <w:pPr>
        <w:pStyle w:val="Heading2"/>
      </w:pPr>
      <w:r>
        <w:t xml:space="preserve">Logging and Monitoring (ISO/IEC 27002 Control 8.15 &amp; 8.16)</w:t>
      </w:r>
    </w:p>
    <w:p>
      <w:pPr>
        <w:pStyle w:val="FirstParagraph"/>
      </w:pPr>
      <w:r>
        <w:t xml:space="preserve">ISO/IEC 27002 control 8.15 requires organisations to</w:t>
      </w:r>
      <w:r>
        <w:t xml:space="preserve"> </w:t>
      </w:r>
      <w:r>
        <w:rPr>
          <w:b/>
          <w:bCs/>
        </w:rPr>
        <w:t xml:space="preserve">produce, protect and analyse logs</w:t>
      </w:r>
      <w:r>
        <w:t xml:space="preserve"> </w:t>
      </w:r>
      <w:r>
        <w:t xml:space="preserve">that record system activities, exceptions and security events. The goal is to provide a tamper‑evident forensic trail for detecting unauthorised access and supporting investigations</w:t>
      </w:r>
      <w:hyperlink r:id="rId29">
        <w:r>
          <w:rPr>
            <w:rStyle w:val="Hyperlink"/>
          </w:rPr>
          <w:t xml:space="preserve">[8]</w:t>
        </w:r>
      </w:hyperlink>
      <w:r>
        <w:t xml:space="preserve">. Key requirements include:</w:t>
      </w:r>
    </w:p>
    <w:bookmarkStart w:id="34" w:name="Xcbaa1c2bc567509b8241cee94288c4537342630"/>
    <w:p>
      <w:pPr>
        <w:pStyle w:val="Heading3"/>
      </w:pPr>
      <w:r>
        <w:t xml:space="preserve">Standard field requirements (What to record)</w:t>
      </w:r>
    </w:p>
    <w:p>
      <w:pPr>
        <w:pStyle w:val="FirstParagraph"/>
      </w:pPr>
      <w:r>
        <w:t xml:space="preserve">Each log entry must capture enough detail to answer the</w:t>
      </w:r>
      <w:r>
        <w:t xml:space="preserve"> </w:t>
      </w:r>
      <w:r>
        <w:rPr>
          <w:b/>
          <w:bCs/>
        </w:rPr>
        <w:t xml:space="preserve">who–what–when–where–how</w:t>
      </w:r>
      <w:r>
        <w:t xml:space="preserve"> </w:t>
      </w:r>
      <w:r>
        <w:t xml:space="preserve">questions. The standard recommends recording the following fields</w:t>
      </w:r>
      <w:hyperlink r:id="rId30">
        <w:r>
          <w:rPr>
            <w:rStyle w:val="Hyperlink"/>
          </w:rPr>
          <w:t xml:space="preserve">[9]</w:t>
        </w:r>
      </w:hyperlink>
      <w:hyperlink r:id="rId31">
        <w:r>
          <w:rPr>
            <w:rStyle w:val="Hyperlink"/>
          </w:rPr>
          <w:t xml:space="preserve">[10]</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Why it matters</w:t>
            </w:r>
          </w:p>
        </w:tc>
      </w:tr>
      <w:tr>
        <w:tc>
          <w:tcPr/>
          <w:p>
            <w:pPr>
              <w:pStyle w:val="Compact"/>
            </w:pPr>
            <w:r>
              <w:rPr>
                <w:b/>
                <w:bCs/>
              </w:rPr>
              <w:t xml:space="preserve">User ID (Who)</w:t>
            </w:r>
          </w:p>
        </w:tc>
        <w:tc>
          <w:tcPr/>
          <w:p>
            <w:pPr>
              <w:pStyle w:val="Compact"/>
            </w:pPr>
            <w:r>
              <w:t xml:space="preserve">Identity or account that performed the action</w:t>
            </w:r>
          </w:p>
        </w:tc>
        <w:tc>
          <w:tcPr/>
          <w:p>
            <w:pPr>
              <w:pStyle w:val="Compact"/>
            </w:pPr>
            <w:r>
              <w:t xml:space="preserve">Allows attribution and accountability for user and system events</w:t>
            </w:r>
            <w:hyperlink r:id="rId30">
              <w:r>
                <w:rPr>
                  <w:rStyle w:val="Hyperlink"/>
                </w:rPr>
                <w:t xml:space="preserve">[11]</w:t>
              </w:r>
            </w:hyperlink>
            <w:r>
              <w:t xml:space="preserve">.</w:t>
            </w:r>
          </w:p>
        </w:tc>
      </w:tr>
      <w:tr>
        <w:tc>
          <w:tcPr/>
          <w:p>
            <w:pPr>
              <w:pStyle w:val="Compact"/>
            </w:pPr>
            <w:r>
              <w:rPr>
                <w:b/>
                <w:bCs/>
              </w:rPr>
              <w:t xml:space="preserve">System activity / Event type (What)</w:t>
            </w:r>
          </w:p>
        </w:tc>
        <w:tc>
          <w:tcPr/>
          <w:p>
            <w:pPr>
              <w:pStyle w:val="Compact"/>
            </w:pPr>
            <w:r>
              <w:t xml:space="preserve">Description of what occurred (e.g., login, file deletion, KYC approval)</w:t>
            </w:r>
          </w:p>
        </w:tc>
        <w:tc>
          <w:tcPr/>
          <w:p>
            <w:pPr>
              <w:pStyle w:val="Compact"/>
            </w:pPr>
            <w:r>
              <w:t xml:space="preserve">Enables detection of suspicious or unauthorised actions</w:t>
            </w:r>
            <w:hyperlink r:id="rId32">
              <w:r>
                <w:rPr>
                  <w:rStyle w:val="Hyperlink"/>
                </w:rPr>
                <w:t xml:space="preserve">[12]</w:t>
              </w:r>
            </w:hyperlink>
            <w:r>
              <w:t xml:space="preserve">.</w:t>
            </w:r>
          </w:p>
        </w:tc>
      </w:tr>
      <w:tr>
        <w:tc>
          <w:tcPr/>
          <w:p>
            <w:pPr>
              <w:pStyle w:val="Compact"/>
            </w:pPr>
            <w:r>
              <w:rPr>
                <w:b/>
                <w:bCs/>
              </w:rPr>
              <w:t xml:space="preserve">Timestamp (When)</w:t>
            </w:r>
          </w:p>
        </w:tc>
        <w:tc>
          <w:tcPr/>
          <w:p>
            <w:pPr>
              <w:pStyle w:val="Compact"/>
            </w:pPr>
            <w:r>
              <w:t xml:space="preserve">Date and time of the event</w:t>
            </w:r>
          </w:p>
        </w:tc>
        <w:tc>
          <w:tcPr/>
          <w:p>
            <w:pPr>
              <w:pStyle w:val="Compact"/>
            </w:pPr>
            <w:r>
              <w:t xml:space="preserve">Establishes a chronological sequence and supports correlation across systems</w:t>
            </w:r>
            <w:hyperlink r:id="rId32">
              <w:r>
                <w:rPr>
                  <w:rStyle w:val="Hyperlink"/>
                </w:rPr>
                <w:t xml:space="preserve">[12]</w:t>
              </w:r>
            </w:hyperlink>
            <w:r>
              <w:t xml:space="preserve">.</w:t>
            </w:r>
          </w:p>
        </w:tc>
      </w:tr>
      <w:tr>
        <w:tc>
          <w:tcPr/>
          <w:p>
            <w:pPr>
              <w:pStyle w:val="Compact"/>
            </w:pPr>
            <w:r>
              <w:rPr>
                <w:b/>
                <w:bCs/>
              </w:rPr>
              <w:t xml:space="preserve">Device/system ID &amp; location (Where)</w:t>
            </w:r>
          </w:p>
        </w:tc>
        <w:tc>
          <w:tcPr/>
          <w:p>
            <w:pPr>
              <w:pStyle w:val="Compact"/>
            </w:pPr>
            <w:r>
              <w:t xml:space="preserve">Identifier and location of the system or device where the event occurred</w:t>
            </w:r>
          </w:p>
        </w:tc>
        <w:tc>
          <w:tcPr/>
          <w:p>
            <w:pPr>
              <w:pStyle w:val="Compact"/>
            </w:pPr>
            <w:r>
              <w:t xml:space="preserve">Helps identify the asset involved and supports physical security investigations</w:t>
            </w:r>
            <w:hyperlink r:id="rId33">
              <w:r>
                <w:rPr>
                  <w:rStyle w:val="Hyperlink"/>
                </w:rPr>
                <w:t xml:space="preserve">[13]</w:t>
              </w:r>
            </w:hyperlink>
            <w:r>
              <w:t xml:space="preserve">.</w:t>
            </w:r>
          </w:p>
        </w:tc>
      </w:tr>
      <w:tr>
        <w:tc>
          <w:tcPr/>
          <w:p>
            <w:pPr>
              <w:pStyle w:val="Compact"/>
            </w:pPr>
            <w:r>
              <w:rPr>
                <w:b/>
                <w:bCs/>
              </w:rPr>
              <w:t xml:space="preserve">Network addresses &amp; protocol (How)</w:t>
            </w:r>
          </w:p>
        </w:tc>
        <w:tc>
          <w:tcPr/>
          <w:p>
            <w:pPr>
              <w:pStyle w:val="Compact"/>
            </w:pPr>
            <w:r>
              <w:t xml:space="preserve">IP address, port and protocol used</w:t>
            </w:r>
          </w:p>
        </w:tc>
        <w:tc>
          <w:tcPr/>
          <w:p>
            <w:pPr>
              <w:pStyle w:val="Compact"/>
            </w:pPr>
            <w:r>
              <w:t xml:space="preserve">Provides context about how the action was performed and aids forensic analysis</w:t>
            </w:r>
            <w:hyperlink r:id="rId33">
              <w:r>
                <w:rPr>
                  <w:rStyle w:val="Hyperlink"/>
                </w:rPr>
                <w:t xml:space="preserve">[14]</w:t>
              </w:r>
            </w:hyperlink>
            <w:r>
              <w:t xml:space="preserve">.</w:t>
            </w:r>
          </w:p>
        </w:tc>
      </w:tr>
    </w:tbl>
    <w:bookmarkEnd w:id="34"/>
    <w:bookmarkStart w:id="36" w:name="event-types-to-log"/>
    <w:p>
      <w:pPr>
        <w:pStyle w:val="Heading3"/>
      </w:pPr>
      <w:r>
        <w:t xml:space="preserve">Event types to log</w:t>
      </w:r>
    </w:p>
    <w:p>
      <w:pPr>
        <w:pStyle w:val="FirstParagraph"/>
      </w:pPr>
      <w:r>
        <w:t xml:space="preserve">Control 8.15 outlines specific events that have a high impact on security and must be logged</w:t>
      </w:r>
      <w:hyperlink r:id="rId35">
        <w:r>
          <w:rPr>
            <w:rStyle w:val="Hyperlink"/>
          </w:rPr>
          <w:t xml:space="preserve">[15]</w:t>
        </w:r>
      </w:hyperlink>
      <w:r>
        <w:t xml:space="preserve">:</w:t>
      </w:r>
    </w:p>
    <w:p>
      <w:pPr>
        <w:pStyle w:val="Compact"/>
        <w:numPr>
          <w:ilvl w:val="0"/>
          <w:numId w:val="1002"/>
        </w:numPr>
      </w:pPr>
      <w:r>
        <w:rPr>
          <w:b/>
          <w:bCs/>
        </w:rPr>
        <w:t xml:space="preserve">System access attempts</w:t>
      </w:r>
      <w:r>
        <w:t xml:space="preserve"> </w:t>
      </w:r>
      <w:r>
        <w:t xml:space="preserve">(successful and failed).</w:t>
      </w:r>
    </w:p>
    <w:p>
      <w:pPr>
        <w:pStyle w:val="Compact"/>
        <w:numPr>
          <w:ilvl w:val="0"/>
          <w:numId w:val="1002"/>
        </w:numPr>
      </w:pPr>
      <w:r>
        <w:rPr>
          <w:b/>
          <w:bCs/>
        </w:rPr>
        <w:t xml:space="preserve">Data or resource access attempts</w:t>
      </w:r>
      <w:r>
        <w:t xml:space="preserve">.</w:t>
      </w:r>
    </w:p>
    <w:p>
      <w:pPr>
        <w:pStyle w:val="Compact"/>
        <w:numPr>
          <w:ilvl w:val="0"/>
          <w:numId w:val="1002"/>
        </w:numPr>
      </w:pPr>
      <w:r>
        <w:rPr>
          <w:b/>
          <w:bCs/>
        </w:rPr>
        <w:t xml:space="preserve">System/OS configuration changes</w:t>
      </w:r>
      <w:r>
        <w:t xml:space="preserve">.</w:t>
      </w:r>
    </w:p>
    <w:p>
      <w:pPr>
        <w:pStyle w:val="Compact"/>
        <w:numPr>
          <w:ilvl w:val="0"/>
          <w:numId w:val="1002"/>
        </w:numPr>
      </w:pPr>
      <w:r>
        <w:rPr>
          <w:b/>
          <w:bCs/>
        </w:rPr>
        <w:t xml:space="preserve">Use of elevated privileges</w:t>
      </w:r>
      <w:r>
        <w:t xml:space="preserve">.</w:t>
      </w:r>
    </w:p>
    <w:p>
      <w:pPr>
        <w:pStyle w:val="Compact"/>
        <w:numPr>
          <w:ilvl w:val="0"/>
          <w:numId w:val="1002"/>
        </w:numPr>
      </w:pPr>
      <w:r>
        <w:rPr>
          <w:b/>
          <w:bCs/>
        </w:rPr>
        <w:t xml:space="preserve">Use of utility programs or maintenance facilities</w:t>
      </w:r>
      <w:r>
        <w:t xml:space="preserve">.</w:t>
      </w:r>
    </w:p>
    <w:p>
      <w:pPr>
        <w:pStyle w:val="Compact"/>
        <w:numPr>
          <w:ilvl w:val="0"/>
          <w:numId w:val="1002"/>
        </w:numPr>
      </w:pPr>
      <w:r>
        <w:rPr>
          <w:b/>
          <w:bCs/>
        </w:rPr>
        <w:t xml:space="preserve">File access requests</w:t>
      </w:r>
      <w:r>
        <w:t xml:space="preserve"> </w:t>
      </w:r>
      <w:r>
        <w:t xml:space="preserve">(deletions, migrations, etc.).</w:t>
      </w:r>
    </w:p>
    <w:p>
      <w:pPr>
        <w:pStyle w:val="Compact"/>
        <w:numPr>
          <w:ilvl w:val="0"/>
          <w:numId w:val="1002"/>
        </w:numPr>
      </w:pPr>
      <w:r>
        <w:rPr>
          <w:b/>
          <w:bCs/>
        </w:rPr>
        <w:t xml:space="preserve">Access control alarms and critical interrupts</w:t>
      </w:r>
      <w:r>
        <w:t xml:space="preserve">.</w:t>
      </w:r>
    </w:p>
    <w:p>
      <w:pPr>
        <w:pStyle w:val="Compact"/>
        <w:numPr>
          <w:ilvl w:val="0"/>
          <w:numId w:val="1002"/>
        </w:numPr>
      </w:pPr>
      <w:r>
        <w:rPr>
          <w:b/>
          <w:bCs/>
        </w:rPr>
        <w:t xml:space="preserve">Activation/deactivation of security systems</w:t>
      </w:r>
      <w:r>
        <w:t xml:space="preserve"> </w:t>
      </w:r>
      <w:r>
        <w:t xml:space="preserve">(e.g., antivirus and firewall).</w:t>
      </w:r>
    </w:p>
    <w:p>
      <w:pPr>
        <w:pStyle w:val="Compact"/>
        <w:numPr>
          <w:ilvl w:val="0"/>
          <w:numId w:val="1002"/>
        </w:numPr>
      </w:pPr>
      <w:r>
        <w:rPr>
          <w:b/>
          <w:bCs/>
        </w:rPr>
        <w:t xml:space="preserve">Identity administration actions</w:t>
      </w:r>
      <w:r>
        <w:t xml:space="preserve">.</w:t>
      </w:r>
    </w:p>
    <w:p>
      <w:pPr>
        <w:pStyle w:val="Compact"/>
        <w:numPr>
          <w:ilvl w:val="0"/>
          <w:numId w:val="1002"/>
        </w:numPr>
      </w:pPr>
      <w:r>
        <w:rPr>
          <w:b/>
          <w:bCs/>
        </w:rPr>
        <w:t xml:space="preserve">Application‑session actions that modify data or system state</w:t>
      </w:r>
      <w:r>
        <w:t xml:space="preserve">.</w:t>
      </w:r>
    </w:p>
    <w:bookmarkEnd w:id="36"/>
    <w:bookmarkStart w:id="38" w:name="time-synchronisation-and-log-consistency"/>
    <w:p>
      <w:pPr>
        <w:pStyle w:val="Heading3"/>
      </w:pPr>
      <w:r>
        <w:t xml:space="preserve">Time synchronisation and log consistency</w:t>
      </w:r>
    </w:p>
    <w:p>
      <w:pPr>
        <w:pStyle w:val="FirstParagraph"/>
      </w:pPr>
      <w:r>
        <w:t xml:space="preserve">All logs must be synchronised to a common time source so that events from different systems can be correlated accurately</w:t>
      </w:r>
      <w:hyperlink r:id="rId37">
        <w:r>
          <w:rPr>
            <w:rStyle w:val="Hyperlink"/>
          </w:rPr>
          <w:t xml:space="preserve">[16]</w:t>
        </w:r>
      </w:hyperlink>
      <w:r>
        <w:t xml:space="preserve">. If third‑party applications generate logs using a different time zone or clock, note the discrepancy and adjust during analysis.</w:t>
      </w:r>
    </w:p>
    <w:bookmarkEnd w:id="38"/>
    <w:bookmarkStart w:id="42" w:name="log-protection-and-integrity"/>
    <w:p>
      <w:pPr>
        <w:pStyle w:val="Heading3"/>
      </w:pPr>
      <w:r>
        <w:t xml:space="preserve">Log protection and integrity</w:t>
      </w:r>
    </w:p>
    <w:p>
      <w:pPr>
        <w:pStyle w:val="FirstParagraph"/>
      </w:pPr>
      <w:r>
        <w:t xml:space="preserve">Logs constitute evidence. To prevent tampering and unauthorised deletion, organisations should</w:t>
      </w:r>
      <w:hyperlink r:id="rId39">
        <w:r>
          <w:rPr>
            <w:rStyle w:val="Hyperlink"/>
          </w:rPr>
          <w:t xml:space="preserve">[17]</w:t>
        </w:r>
      </w:hyperlink>
      <w:r>
        <w:t xml:space="preserve">:</w:t>
      </w:r>
    </w:p>
    <w:p>
      <w:pPr>
        <w:pStyle w:val="Compact"/>
        <w:numPr>
          <w:ilvl w:val="0"/>
          <w:numId w:val="1003"/>
        </w:numPr>
      </w:pPr>
      <w:r>
        <w:t xml:space="preserve">Restrict the ability of users (including administrators) to delete or edit their own logs</w:t>
      </w:r>
      <w:hyperlink r:id="rId39">
        <w:r>
          <w:rPr>
            <w:rStyle w:val="Hyperlink"/>
          </w:rPr>
          <w:t xml:space="preserve">[18]</w:t>
        </w:r>
      </w:hyperlink>
      <w:r>
        <w:t xml:space="preserve">.</w:t>
      </w:r>
    </w:p>
    <w:p>
      <w:pPr>
        <w:pStyle w:val="Compact"/>
        <w:numPr>
          <w:ilvl w:val="0"/>
          <w:numId w:val="1003"/>
        </w:numPr>
      </w:pPr>
      <w:r>
        <w:t xml:space="preserve">Ensure that each log file is</w:t>
      </w:r>
      <w:r>
        <w:t xml:space="preserve"> </w:t>
      </w:r>
      <w:r>
        <w:rPr>
          <w:b/>
          <w:bCs/>
        </w:rPr>
        <w:t xml:space="preserve">complete and accurate</w:t>
      </w:r>
      <w:r>
        <w:t xml:space="preserve"> </w:t>
      </w:r>
      <w:r>
        <w:t xml:space="preserve">and cannot be overwritten due to storage or network issues</w:t>
      </w:r>
      <w:hyperlink r:id="rId40">
        <w:r>
          <w:rPr>
            <w:rStyle w:val="Hyperlink"/>
          </w:rPr>
          <w:t xml:space="preserve">[19]</w:t>
        </w:r>
      </w:hyperlink>
      <w:r>
        <w:t xml:space="preserve">.</w:t>
      </w:r>
    </w:p>
    <w:p>
      <w:pPr>
        <w:pStyle w:val="Compact"/>
        <w:numPr>
          <w:ilvl w:val="0"/>
          <w:numId w:val="1003"/>
        </w:numPr>
      </w:pPr>
      <w:r>
        <w:t xml:space="preserve">Protect logs using mechanisms such as</w:t>
      </w:r>
      <w:r>
        <w:t xml:space="preserve"> </w:t>
      </w:r>
      <w:r>
        <w:rPr>
          <w:b/>
          <w:bCs/>
        </w:rPr>
        <w:t xml:space="preserve">append‑only recording</w:t>
      </w:r>
      <w:r>
        <w:t xml:space="preserve">,</w:t>
      </w:r>
      <w:r>
        <w:t xml:space="preserve"> </w:t>
      </w:r>
      <w:r>
        <w:rPr>
          <w:b/>
          <w:bCs/>
        </w:rPr>
        <w:t xml:space="preserve">cryptographic hashing</w:t>
      </w:r>
      <w:r>
        <w:t xml:space="preserve"> </w:t>
      </w:r>
      <w:r>
        <w:t xml:space="preserve">and</w:t>
      </w:r>
      <w:r>
        <w:t xml:space="preserve"> </w:t>
      </w:r>
      <w:r>
        <w:rPr>
          <w:b/>
          <w:bCs/>
        </w:rPr>
        <w:t xml:space="preserve">read‑only storage</w:t>
      </w:r>
      <w:hyperlink r:id="rId41">
        <w:r>
          <w:rPr>
            <w:rStyle w:val="Hyperlink"/>
          </w:rPr>
          <w:t xml:space="preserve">[20]</w:t>
        </w:r>
      </w:hyperlink>
      <w:r>
        <w:t xml:space="preserve">.</w:t>
      </w:r>
    </w:p>
    <w:bookmarkEnd w:id="42"/>
    <w:bookmarkStart w:id="44" w:name="deidentification-and-privacy"/>
    <w:p>
      <w:pPr>
        <w:pStyle w:val="Heading3"/>
      </w:pPr>
      <w:r>
        <w:t xml:space="preserve">De‑identification and privacy</w:t>
      </w:r>
    </w:p>
    <w:p>
      <w:pPr>
        <w:pStyle w:val="FirstParagraph"/>
      </w:pPr>
      <w:r>
        <w:t xml:space="preserve">When sending logs to external vendors or cloud services, mask personally identifiable information such as usernames, IP addresses and hostnames</w:t>
      </w:r>
      <w:hyperlink r:id="rId43">
        <w:r>
          <w:rPr>
            <w:rStyle w:val="Hyperlink"/>
          </w:rPr>
          <w:t xml:space="preserve">[21]</w:t>
        </w:r>
      </w:hyperlink>
      <w:r>
        <w:t xml:space="preserve">. Ensure compliance with privacy laws (e.g., GDPR) by de‑identifying data before sharing.</w:t>
      </w:r>
    </w:p>
    <w:bookmarkEnd w:id="44"/>
    <w:bookmarkStart w:id="47" w:name="retention-and-analysis"/>
    <w:p>
      <w:pPr>
        <w:pStyle w:val="Heading3"/>
      </w:pPr>
      <w:r>
        <w:t xml:space="preserve">Retention and analysis</w:t>
      </w:r>
    </w:p>
    <w:p>
      <w:pPr>
        <w:pStyle w:val="FirstParagraph"/>
      </w:pPr>
      <w:r>
        <w:t xml:space="preserve">ISO/IEC 27002 emphasises that logs must be retained long enough for forensic and compliance purposes but not indefinitely. A defined</w:t>
      </w:r>
      <w:r>
        <w:t xml:space="preserve"> </w:t>
      </w:r>
      <w:r>
        <w:rPr>
          <w:b/>
          <w:bCs/>
        </w:rPr>
        <w:t xml:space="preserve">log retention policy</w:t>
      </w:r>
      <w:r>
        <w:t xml:space="preserve"> </w:t>
      </w:r>
      <w:r>
        <w:t xml:space="preserve">ensures logs are kept for periods that meet business and regulatory requirements without violating privacy</w:t>
      </w:r>
      <w:hyperlink r:id="rId45">
        <w:r>
          <w:rPr>
            <w:rStyle w:val="Hyperlink"/>
          </w:rPr>
          <w:t xml:space="preserve">[22]</w:t>
        </w:r>
      </w:hyperlink>
      <w:r>
        <w:t xml:space="preserve">. Retention periods may vary by log type; for example, firewall and network logs might be kept for 12 months, while system error logs could be retained for only three months</w:t>
      </w:r>
      <w:hyperlink r:id="rId45">
        <w:r>
          <w:rPr>
            <w:rStyle w:val="Hyperlink"/>
          </w:rPr>
          <w:t xml:space="preserve">[22]</w:t>
        </w:r>
      </w:hyperlink>
      <w:r>
        <w:t xml:space="preserve">. Regular reviews of logs are mandatory to detect patterns or anomalies</w:t>
      </w:r>
      <w:hyperlink r:id="rId46">
        <w:r>
          <w:rPr>
            <w:rStyle w:val="Hyperlink"/>
          </w:rPr>
          <w:t xml:space="preserve">[23]</w:t>
        </w:r>
      </w:hyperlink>
      <w:r>
        <w:t xml:space="preserve">.</w:t>
      </w:r>
    </w:p>
    <w:bookmarkEnd w:id="47"/>
    <w:bookmarkStart w:id="48" w:name="monitoring-and-incident-response"/>
    <w:p>
      <w:pPr>
        <w:pStyle w:val="Heading3"/>
      </w:pPr>
      <w:r>
        <w:t xml:space="preserve">Monitoring and incident response</w:t>
      </w:r>
    </w:p>
    <w:p>
      <w:pPr>
        <w:pStyle w:val="FirstParagraph"/>
      </w:pPr>
      <w:r>
        <w:t xml:space="preserve">Control 8.16 requires proactive monitoring. Logs should feed into a central monitoring system (e.g., SIEM) so that anomalous behaviour can trigger alerts. Integrate logs with the incident response process so that suspicious events are escalated and investigated promptly.</w:t>
      </w:r>
    </w:p>
    <w:bookmarkEnd w:id="48"/>
    <w:bookmarkEnd w:id="49"/>
    <w:bookmarkStart w:id="50" w:name="X979e2eff9bbced4766384afdd991bcec73c4919"/>
    <w:p>
      <w:pPr>
        <w:pStyle w:val="Heading2"/>
      </w:pPr>
      <w:r>
        <w:t xml:space="preserve">Implementation Steps for the Educational Blockchain Network</w:t>
      </w:r>
    </w:p>
    <w:p>
      <w:pPr>
        <w:pStyle w:val="FirstParagraph"/>
      </w:pPr>
      <w:r>
        <w:t xml:space="preserve">To fulfil ISO/IEC logging and security requirements, follow these steps:</w:t>
      </w:r>
    </w:p>
    <w:p>
      <w:pPr>
        <w:pStyle w:val="Compact"/>
        <w:numPr>
          <w:ilvl w:val="0"/>
          <w:numId w:val="1004"/>
        </w:numPr>
      </w:pPr>
      <w:r>
        <w:rPr>
          <w:b/>
          <w:bCs/>
        </w:rPr>
        <w:t xml:space="preserve">Establish the ISMS</w:t>
      </w:r>
      <w:r>
        <w:t xml:space="preserve"> </w:t>
      </w:r>
      <w:r>
        <w:t xml:space="preserve">– Define the scope (nodes, microservices, databases), develop an information security policy and perform a risk assessment. Identify critical assets (wallet keys, user data, KYC documents) and evaluate threats such as unauthorised access, insider abuse and data breaches.</w:t>
      </w:r>
    </w:p>
    <w:p>
      <w:pPr>
        <w:pStyle w:val="Compact"/>
        <w:numPr>
          <w:ilvl w:val="0"/>
          <w:numId w:val="1004"/>
        </w:numPr>
      </w:pPr>
      <w:r>
        <w:rPr>
          <w:b/>
          <w:bCs/>
        </w:rPr>
        <w:t xml:space="preserve">Select and implement controls</w:t>
      </w:r>
      <w:r>
        <w:t xml:space="preserve"> </w:t>
      </w:r>
      <w:r>
        <w:t xml:space="preserve">– Choose appropriate controls from the ISO/IEC 27001 domains. For a blockchain network, focus on access control (restrict system and database access), cryptographic controls (secure key storage and encryption), incident management and business continuity.</w:t>
      </w:r>
    </w:p>
    <w:p>
      <w:pPr>
        <w:pStyle w:val="Compact"/>
        <w:numPr>
          <w:ilvl w:val="0"/>
          <w:numId w:val="1004"/>
        </w:numPr>
      </w:pPr>
      <w:r>
        <w:rPr>
          <w:b/>
          <w:bCs/>
        </w:rPr>
        <w:t xml:space="preserve">Define log sources and formats</w:t>
      </w:r>
      <w:r>
        <w:t xml:space="preserve"> </w:t>
      </w:r>
      <w:r>
        <w:t xml:space="preserve">– Identify which microservices and blockchain components generate logs (API gateway, authentication service, wallet service, blockchain node, database). Standardise log formats to include the required fields (user ID, event type, timestamp, location and network address).</w:t>
      </w:r>
    </w:p>
    <w:p>
      <w:pPr>
        <w:pStyle w:val="Compact"/>
        <w:numPr>
          <w:ilvl w:val="0"/>
          <w:numId w:val="1004"/>
        </w:numPr>
      </w:pPr>
      <w:r>
        <w:rPr>
          <w:b/>
          <w:bCs/>
        </w:rPr>
        <w:t xml:space="preserve">Configure centralised logging</w:t>
      </w:r>
      <w:r>
        <w:t xml:space="preserve"> </w:t>
      </w:r>
      <w:r>
        <w:t xml:space="preserve">– Use logging drivers or agents (e.g., Docker GELF driver, Fluentd) to send logs to a central system such as Elasticsearch or a SIEM. Ensure all logs are synchronised with a common time source.</w:t>
      </w:r>
    </w:p>
    <w:p>
      <w:pPr>
        <w:pStyle w:val="Compact"/>
        <w:numPr>
          <w:ilvl w:val="0"/>
          <w:numId w:val="1004"/>
        </w:numPr>
      </w:pPr>
      <w:r>
        <w:rPr>
          <w:b/>
          <w:bCs/>
        </w:rPr>
        <w:t xml:space="preserve">Protect logs</w:t>
      </w:r>
      <w:r>
        <w:t xml:space="preserve"> </w:t>
      </w:r>
      <w:r>
        <w:t xml:space="preserve">– Implement append‑only storage or write‑once media; apply cryptographic hashing to detect tampering; restrict administrative access so that no one can edit or delete logs</w:t>
      </w:r>
      <w:hyperlink r:id="rId39">
        <w:r>
          <w:rPr>
            <w:rStyle w:val="Hyperlink"/>
          </w:rPr>
          <w:t xml:space="preserve">[17]</w:t>
        </w:r>
      </w:hyperlink>
      <w:r>
        <w:t xml:space="preserve">.</w:t>
      </w:r>
    </w:p>
    <w:p>
      <w:pPr>
        <w:pStyle w:val="Compact"/>
        <w:numPr>
          <w:ilvl w:val="0"/>
          <w:numId w:val="1004"/>
        </w:numPr>
      </w:pPr>
      <w:r>
        <w:rPr>
          <w:b/>
          <w:bCs/>
        </w:rPr>
        <w:t xml:space="preserve">Define retention periods and schedules</w:t>
      </w:r>
      <w:r>
        <w:t xml:space="preserve"> </w:t>
      </w:r>
      <w:r>
        <w:t xml:space="preserve">– Create a retention schedule that specifies how long each type of log is kept (e.g., 12 months for firewall, network and user access logs)</w:t>
      </w:r>
      <w:hyperlink r:id="rId45">
        <w:r>
          <w:rPr>
            <w:rStyle w:val="Hyperlink"/>
          </w:rPr>
          <w:t xml:space="preserve">[22]</w:t>
        </w:r>
      </w:hyperlink>
      <w:r>
        <w:t xml:space="preserve">. Ensure logs are securely deleted at the end of their retention period.</w:t>
      </w:r>
    </w:p>
    <w:p>
      <w:pPr>
        <w:pStyle w:val="Compact"/>
        <w:numPr>
          <w:ilvl w:val="0"/>
          <w:numId w:val="1004"/>
        </w:numPr>
      </w:pPr>
      <w:r>
        <w:rPr>
          <w:b/>
          <w:bCs/>
        </w:rPr>
        <w:t xml:space="preserve">Establish monitoring and review processes</w:t>
      </w:r>
      <w:r>
        <w:t xml:space="preserve"> </w:t>
      </w:r>
      <w:r>
        <w:t xml:space="preserve">– Integrate logs with a SIEM to automatically detect anomalies. Perform regular manual reviews and maintain evidence of these reviews for audits</w:t>
      </w:r>
      <w:hyperlink r:id="rId46">
        <w:r>
          <w:rPr>
            <w:rStyle w:val="Hyperlink"/>
          </w:rPr>
          <w:t xml:space="preserve">[23]</w:t>
        </w:r>
      </w:hyperlink>
      <w:r>
        <w:t xml:space="preserve">.</w:t>
      </w:r>
    </w:p>
    <w:p>
      <w:pPr>
        <w:pStyle w:val="Compact"/>
        <w:numPr>
          <w:ilvl w:val="0"/>
          <w:numId w:val="1004"/>
        </w:numPr>
      </w:pPr>
      <w:r>
        <w:rPr>
          <w:b/>
          <w:bCs/>
        </w:rPr>
        <w:t xml:space="preserve">Ensure privacy and compliance</w:t>
      </w:r>
      <w:r>
        <w:t xml:space="preserve"> </w:t>
      </w:r>
      <w:r>
        <w:t xml:space="preserve">– Mask or anonymise personal data when exporting logs to external services</w:t>
      </w:r>
      <w:hyperlink r:id="rId43">
        <w:r>
          <w:rPr>
            <w:rStyle w:val="Hyperlink"/>
          </w:rPr>
          <w:t xml:space="preserve">[21]</w:t>
        </w:r>
      </w:hyperlink>
      <w:r>
        <w:t xml:space="preserve">. Document how logs support compliance with regulations (e.g., GDPR, AML/KYC).</w:t>
      </w:r>
    </w:p>
    <w:p>
      <w:pPr>
        <w:pStyle w:val="Compact"/>
        <w:numPr>
          <w:ilvl w:val="0"/>
          <w:numId w:val="1004"/>
        </w:numPr>
      </w:pPr>
      <w:r>
        <w:rPr>
          <w:b/>
          <w:bCs/>
        </w:rPr>
        <w:t xml:space="preserve">Train personnel and maintain the ISMS</w:t>
      </w:r>
      <w:r>
        <w:t xml:space="preserve"> </w:t>
      </w:r>
      <w:r>
        <w:t xml:space="preserve">– Educate developers and administrators about logging requirements, secure coding, and the importance of maintaining log integrity. Update the ISMS regularly to reflect changes in the network and emerging threats</w:t>
      </w:r>
      <w:hyperlink r:id="rId27">
        <w:r>
          <w:rPr>
            <w:rStyle w:val="Hyperlink"/>
          </w:rPr>
          <w:t xml:space="preserve">[24]</w:t>
        </w:r>
      </w:hyperlink>
      <w:r>
        <w:t xml:space="preserve">.</w:t>
      </w:r>
    </w:p>
    <w:bookmarkEnd w:id="50"/>
    <w:bookmarkStart w:id="51" w:name="conclusion"/>
    <w:p>
      <w:pPr>
        <w:pStyle w:val="Heading2"/>
      </w:pPr>
      <w:r>
        <w:t xml:space="preserve">Conclusion</w:t>
      </w:r>
    </w:p>
    <w:p>
      <w:pPr>
        <w:pStyle w:val="FirstParagraph"/>
      </w:pPr>
      <w:r>
        <w:t xml:space="preserve">Implementing an ISO/IEC‑compliant ISMS and adhering to logging and monitoring controls provides a strong foundation for securing the educational blockchain network. By recording “who did what, when, where and how,” retaining and protecting logs, and continuously improving the security posture, the network can achieve transparency and accountability while meeting international standards.</w:t>
      </w:r>
    </w:p>
    <w:bookmarkEnd w:id="51"/>
    <w:bookmarkEnd w:id="52"/>
    <w:bookmarkEnd w:id="53"/>
    <w:p>
      <w:r>
        <w:pict>
          <v:rect style="width:0;height:1.5pt" o:hralign="center" o:hrstd="t" o:hr="t"/>
        </w:pict>
      </w:r>
    </w:p>
    <w:bookmarkStart w:id="57" w:name="citations"/>
    <w:p>
      <w:pPr>
        <w:pStyle w:val="FirstParagraph"/>
      </w:pPr>
      <w:hyperlink r:id="rId22">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7">
        <w:r>
          <w:rPr>
            <w:rStyle w:val="Hyperlink"/>
          </w:rPr>
          <w:t xml:space="preserve">[24]</w:t>
        </w:r>
      </w:hyperlink>
      <w:r>
        <w:t xml:space="preserve"> </w:t>
      </w:r>
      <w:r>
        <w:t xml:space="preserve">ISO/IEC 27001 Guide - Jama Software</w:t>
      </w:r>
    </w:p>
    <w:p>
      <w:pPr>
        <w:pStyle w:val="BodyText"/>
      </w:pPr>
      <w:hyperlink r:id="rId54">
        <w:r>
          <w:rPr>
            <w:rStyle w:val="Hyperlink"/>
          </w:rPr>
          <w:t xml:space="preserve">https://www.jamasoftware.com/blog/mastering-iso-iec-27001-a-guide-to-information-security-management/</w:t>
        </w:r>
      </w:hyperlink>
    </w:p>
    <w:p>
      <w:pPr>
        <w:pStyle w:val="BodyText"/>
      </w:pPr>
      <w:hyperlink r:id="rId29">
        <w:r>
          <w:rPr>
            <w:rStyle w:val="Hyperlink"/>
          </w:rPr>
          <w:t xml:space="preserve">[8]</w:t>
        </w:r>
      </w:hyperlink>
      <w:r>
        <w:t xml:space="preserve"> </w:t>
      </w:r>
      <w:hyperlink r:id="rId31">
        <w:r>
          <w:rPr>
            <w:rStyle w:val="Hyperlink"/>
          </w:rPr>
          <w:t xml:space="preserve">[10]</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r>
        <w:t xml:space="preserve">ISO 27001 Annex A 8.15 Explained: Lead Auditor’s Guide</w:t>
      </w:r>
    </w:p>
    <w:p>
      <w:pPr>
        <w:pStyle w:val="BodyText"/>
      </w:pPr>
      <w:hyperlink r:id="rId55">
        <w:r>
          <w:rPr>
            <w:rStyle w:val="Hyperlink"/>
          </w:rPr>
          <w:t xml:space="preserve">https://hightable.io/iso-27001-annex-a-8-15-logging/</w:t>
        </w:r>
      </w:hyperlink>
    </w:p>
    <w:p>
      <w:pPr>
        <w:pStyle w:val="BodyText"/>
      </w:pPr>
      <w:hyperlink r:id="rId30">
        <w:r>
          <w:rPr>
            <w:rStyle w:val="Hyperlink"/>
          </w:rPr>
          <w:t xml:space="preserve">[9]</w:t>
        </w:r>
      </w:hyperlink>
      <w:r>
        <w:t xml:space="preserve"> </w:t>
      </w:r>
      <w:hyperlink r:id="rId30">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3">
        <w:r>
          <w:rPr>
            <w:rStyle w:val="Hyperlink"/>
          </w:rPr>
          <w:t xml:space="preserve">[14]</w:t>
        </w:r>
      </w:hyperlink>
      <w:r>
        <w:t xml:space="preserve"> </w:t>
      </w:r>
      <w:hyperlink r:id="rId35">
        <w:r>
          <w:rPr>
            <w:rStyle w:val="Hyperlink"/>
          </w:rPr>
          <w:t xml:space="preserve">[15]</w:t>
        </w:r>
      </w:hyperlink>
      <w:r>
        <w:t xml:space="preserve"> </w:t>
      </w:r>
      <w:hyperlink r:id="rId37">
        <w:r>
          <w:rPr>
            <w:rStyle w:val="Hyperlink"/>
          </w:rPr>
          <w:t xml:space="preserve">[16]</w:t>
        </w:r>
      </w:hyperlink>
      <w:r>
        <w:t xml:space="preserve"> </w:t>
      </w:r>
      <w:hyperlink r:id="rId39">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3">
        <w:r>
          <w:rPr>
            <w:rStyle w:val="Hyperlink"/>
          </w:rPr>
          <w:t xml:space="preserve">[21]</w:t>
        </w:r>
      </w:hyperlink>
      <w:r>
        <w:t xml:space="preserve"> </w:t>
      </w:r>
      <w:r>
        <w:t xml:space="preserve">ISO 27002:2022, Control 8.15, Logging | ISMS.online</w:t>
      </w:r>
    </w:p>
    <w:p>
      <w:pPr>
        <w:pStyle w:val="BodyText"/>
      </w:pPr>
      <w:hyperlink r:id="rId56">
        <w:r>
          <w:rPr>
            <w:rStyle w:val="Hyperlink"/>
          </w:rPr>
          <w:t xml:space="preserve">https://www.isms.online/iso-27002/control-8-15-logging/</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hightable.io/iso-27001-annex-a-8-15-logging/" TargetMode="External" /><Relationship Type="http://schemas.openxmlformats.org/officeDocument/2006/relationships/hyperlink" Id="rId31" Target="https://hightable.io/iso-27001-annex-a-8-15-logging/#:~:text=,Network%20Address" TargetMode="External" /><Relationship Type="http://schemas.openxmlformats.org/officeDocument/2006/relationships/hyperlink" Id="rId46" Target="https://hightable.io/iso-27001-annex-a-8-15-logging/#:~:text=,to%20identify%20patterns%20or%20anomalies" TargetMode="External" /><Relationship Type="http://schemas.openxmlformats.org/officeDocument/2006/relationships/hyperlink" Id="rId29" Target="https://hightable.io/iso-27001-annex-a-8-15-logging/#:~:text=ISO%2027001%20Annex%20A%208,accountability%20for%20privileged%20user%20actions" TargetMode="External" /><Relationship Type="http://schemas.openxmlformats.org/officeDocument/2006/relationships/hyperlink" Id="rId45" Target="https://hightable.io/iso-27001-annex-a-8-15-logging/#:~:text=or%20via%20an%20automated%20tool,soon%20can%20hinder%20forensic%20investigations" TargetMode="External" /><Relationship Type="http://schemas.openxmlformats.org/officeDocument/2006/relationships/hyperlink" Id="rId56" Target="https://www.isms.online/iso-27002/control-8-15-logging/" TargetMode="External" /><Relationship Type="http://schemas.openxmlformats.org/officeDocument/2006/relationships/hyperlink" Id="rId33" Target="https://www.isms.online/iso-27002/control-8-15-logging/#:~:text=,and%20protocols%20%E2%80%93%20IP%20information" TargetMode="External" /><Relationship Type="http://schemas.openxmlformats.org/officeDocument/2006/relationships/hyperlink" Id="rId32" Target="https://www.isms.online/iso-27002/control-8-15-logging/#:~:text=,and%20time%20of%20said%20event" TargetMode="External" /><Relationship Type="http://schemas.openxmlformats.org/officeDocument/2006/relationships/hyperlink" Id="rId37" Target="https://www.isms.online/iso-27002/control-8-15-logging/#:~:text=As%20explained%20in%20Control%208,discrepancies%20catered%20to%20and%20recorded" TargetMode="External" /><Relationship Type="http://schemas.openxmlformats.org/officeDocument/2006/relationships/hyperlink" Id="rId41" Target="https://www.isms.online/iso-27002/control-8-15-logging/#:~:text=ISO%20recommends%20that%2C%20in%20order,protected%20using%20the%20following%20methods" TargetMode="External" /><Relationship Type="http://schemas.openxmlformats.org/officeDocument/2006/relationships/hyperlink" Id="rId40" Target="https://www.isms.online/iso-27002/control-8-15-logging/#:~:text=Individual%20logs%20should%20be%20complete%2C,changes%20or%20operational%20problems%2C%20including" TargetMode="External" /><Relationship Type="http://schemas.openxmlformats.org/officeDocument/2006/relationships/hyperlink" Id="rId39" Target="https://www.isms.online/iso-27002/control-8-15-logging/#:~:text=It%20is%20therefore%20vitally%20important,amend%20their%20own%20event%20logs" TargetMode="External" /><Relationship Type="http://schemas.openxmlformats.org/officeDocument/2006/relationships/hyperlink" Id="rId43" Target="https://www.isms.online/iso-27002/control-8-15-logging/#:~:text=Organisations%20may%20need%20to%20send,following%20information%20should%20be%20masked" TargetMode="External" /><Relationship Type="http://schemas.openxmlformats.org/officeDocument/2006/relationships/hyperlink" Id="rId35" Target="https://www.isms.online/iso-27002/control-8-15-logging/#:~:text=With%20that%20in%20mind%2C%20Control,adequate%20levels%20of%20information%20security" TargetMode="External" /><Relationship Type="http://schemas.openxmlformats.org/officeDocument/2006/relationships/hyperlink" Id="rId30" Target="https://www.isms.online/iso-27002/control-8-15-logging/#:~:text=components%2C%20in%20order%20for%20it,to%20fulfil%20its%20operational%20purpose" TargetMode="External" /><Relationship Type="http://schemas.openxmlformats.org/officeDocument/2006/relationships/hyperlink" Id="rId54" Target="https://www.jamasoftware.com/blog/mastering-iso-iec-27001-a-guide-to-information-security-management/" TargetMode="External" /><Relationship Type="http://schemas.openxmlformats.org/officeDocument/2006/relationships/hyperlink" Id="rId22" Target="https://www.jamasoftware.com/blog/mastering-iso-iec-27001-a-guide-to-information-security-management/#:~:text=,ISO%2FIEC%2027001" TargetMode="External" /><Relationship Type="http://schemas.openxmlformats.org/officeDocument/2006/relationships/hyperlink" Id="rId24" Target="https://www.jamasoftware.com/blog/mastering-iso-iec-27001-a-guide-to-information-security-management/#:~:text=,documentation%20of%20the%20ISMS%2C%20including" TargetMode="External" /><Relationship Type="http://schemas.openxmlformats.org/officeDocument/2006/relationships/hyperlink" Id="rId27" Target="https://www.jamasoftware.com/blog/mastering-iso-iec-27001-a-guide-to-information-security-management/#:~:text=,external%20environment%20and%20emerging%20threats" TargetMode="External" /><Relationship Type="http://schemas.openxmlformats.org/officeDocument/2006/relationships/hyperlink" Id="rId26" Target="https://www.jamasoftware.com/blog/mastering-iso-iec-27001-a-guide-to-information-security-management/#:~:text=,incidents%20to%20ensure%20the%20effectiveness" TargetMode="External" /><Relationship Type="http://schemas.openxmlformats.org/officeDocument/2006/relationships/hyperlink" Id="rId23" Target="https://www.jamasoftware.com/blog/mastering-iso-iec-27001-a-guide-to-information-security-management/#:~:text=,the%20level%20of%20risk%20tolerance" TargetMode="External" /><Relationship Type="http://schemas.openxmlformats.org/officeDocument/2006/relationships/hyperlink" Id="rId25" Target="https://www.jamasoftware.com/blog/mastering-iso-iec-27001-a-guide-to-information-security-management/#:~:text=,the%20standard%20and%20facilitates%20audits" TargetMode="External" /></Relationships>
</file>

<file path=word/_rels/footnotes.xml.rels><?xml version="1.0" encoding="UTF-8"?><Relationships xmlns="http://schemas.openxmlformats.org/package/2006/relationships"><Relationship Type="http://schemas.openxmlformats.org/officeDocument/2006/relationships/hyperlink" Id="rId55" Target="https://hightable.io/iso-27001-annex-a-8-15-logging/" TargetMode="External" /><Relationship Type="http://schemas.openxmlformats.org/officeDocument/2006/relationships/hyperlink" Id="rId31" Target="https://hightable.io/iso-27001-annex-a-8-15-logging/#:~:text=,Network%20Address" TargetMode="External" /><Relationship Type="http://schemas.openxmlformats.org/officeDocument/2006/relationships/hyperlink" Id="rId46" Target="https://hightable.io/iso-27001-annex-a-8-15-logging/#:~:text=,to%20identify%20patterns%20or%20anomalies" TargetMode="External" /><Relationship Type="http://schemas.openxmlformats.org/officeDocument/2006/relationships/hyperlink" Id="rId29" Target="https://hightable.io/iso-27001-annex-a-8-15-logging/#:~:text=ISO%2027001%20Annex%20A%208,accountability%20for%20privileged%20user%20actions" TargetMode="External" /><Relationship Type="http://schemas.openxmlformats.org/officeDocument/2006/relationships/hyperlink" Id="rId45" Target="https://hightable.io/iso-27001-annex-a-8-15-logging/#:~:text=or%20via%20an%20automated%20tool,soon%20can%20hinder%20forensic%20investigations" TargetMode="External" /><Relationship Type="http://schemas.openxmlformats.org/officeDocument/2006/relationships/hyperlink" Id="rId56" Target="https://www.isms.online/iso-27002/control-8-15-logging/" TargetMode="External" /><Relationship Type="http://schemas.openxmlformats.org/officeDocument/2006/relationships/hyperlink" Id="rId33" Target="https://www.isms.online/iso-27002/control-8-15-logging/#:~:text=,and%20protocols%20%E2%80%93%20IP%20information" TargetMode="External" /><Relationship Type="http://schemas.openxmlformats.org/officeDocument/2006/relationships/hyperlink" Id="rId32" Target="https://www.isms.online/iso-27002/control-8-15-logging/#:~:text=,and%20time%20of%20said%20event" TargetMode="External" /><Relationship Type="http://schemas.openxmlformats.org/officeDocument/2006/relationships/hyperlink" Id="rId37" Target="https://www.isms.online/iso-27002/control-8-15-logging/#:~:text=As%20explained%20in%20Control%208,discrepancies%20catered%20to%20and%20recorded" TargetMode="External" /><Relationship Type="http://schemas.openxmlformats.org/officeDocument/2006/relationships/hyperlink" Id="rId41" Target="https://www.isms.online/iso-27002/control-8-15-logging/#:~:text=ISO%20recommends%20that%2C%20in%20order,protected%20using%20the%20following%20methods" TargetMode="External" /><Relationship Type="http://schemas.openxmlformats.org/officeDocument/2006/relationships/hyperlink" Id="rId40" Target="https://www.isms.online/iso-27002/control-8-15-logging/#:~:text=Individual%20logs%20should%20be%20complete%2C,changes%20or%20operational%20problems%2C%20including" TargetMode="External" /><Relationship Type="http://schemas.openxmlformats.org/officeDocument/2006/relationships/hyperlink" Id="rId39" Target="https://www.isms.online/iso-27002/control-8-15-logging/#:~:text=It%20is%20therefore%20vitally%20important,amend%20their%20own%20event%20logs" TargetMode="External" /><Relationship Type="http://schemas.openxmlformats.org/officeDocument/2006/relationships/hyperlink" Id="rId43" Target="https://www.isms.online/iso-27002/control-8-15-logging/#:~:text=Organisations%20may%20need%20to%20send,following%20information%20should%20be%20masked" TargetMode="External" /><Relationship Type="http://schemas.openxmlformats.org/officeDocument/2006/relationships/hyperlink" Id="rId35" Target="https://www.isms.online/iso-27002/control-8-15-logging/#:~:text=With%20that%20in%20mind%2C%20Control,adequate%20levels%20of%20information%20security" TargetMode="External" /><Relationship Type="http://schemas.openxmlformats.org/officeDocument/2006/relationships/hyperlink" Id="rId30" Target="https://www.isms.online/iso-27002/control-8-15-logging/#:~:text=components%2C%20in%20order%20for%20it,to%20fulfil%20its%20operational%20purpose" TargetMode="External" /><Relationship Type="http://schemas.openxmlformats.org/officeDocument/2006/relationships/hyperlink" Id="rId54" Target="https://www.jamasoftware.com/blog/mastering-iso-iec-27001-a-guide-to-information-security-management/" TargetMode="External" /><Relationship Type="http://schemas.openxmlformats.org/officeDocument/2006/relationships/hyperlink" Id="rId22" Target="https://www.jamasoftware.com/blog/mastering-iso-iec-27001-a-guide-to-information-security-management/#:~:text=,ISO%2FIEC%2027001" TargetMode="External" /><Relationship Type="http://schemas.openxmlformats.org/officeDocument/2006/relationships/hyperlink" Id="rId24" Target="https://www.jamasoftware.com/blog/mastering-iso-iec-27001-a-guide-to-information-security-management/#:~:text=,documentation%20of%20the%20ISMS%2C%20including" TargetMode="External" /><Relationship Type="http://schemas.openxmlformats.org/officeDocument/2006/relationships/hyperlink" Id="rId27" Target="https://www.jamasoftware.com/blog/mastering-iso-iec-27001-a-guide-to-information-security-management/#:~:text=,external%20environment%20and%20emerging%20threats" TargetMode="External" /><Relationship Type="http://schemas.openxmlformats.org/officeDocument/2006/relationships/hyperlink" Id="rId26" Target="https://www.jamasoftware.com/blog/mastering-iso-iec-27001-a-guide-to-information-security-management/#:~:text=,incidents%20to%20ensure%20the%20effectiveness" TargetMode="External" /><Relationship Type="http://schemas.openxmlformats.org/officeDocument/2006/relationships/hyperlink" Id="rId23" Target="https://www.jamasoftware.com/blog/mastering-iso-iec-27001-a-guide-to-information-security-management/#:~:text=,the%20level%20of%20risk%20tolerance" TargetMode="External" /><Relationship Type="http://schemas.openxmlformats.org/officeDocument/2006/relationships/hyperlink" Id="rId25" Target="https://www.jamasoftware.com/blog/mastering-iso-iec-27001-a-guide-to-information-security-management/#:~:text=,the%20standard%20and%20facilitates%20audi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2026-03-23T15:54:37Z</dcterms:created>
  <dcterms:modified xsi:type="dcterms:W3CDTF">2026-03-23T15:54:37Z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