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1a73e8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1a73e8"/>
          <w:sz w:val="36"/>
          <w:szCs w:val="36"/>
          <w:rtl w:val="0"/>
        </w:rPr>
        <w:t xml:space="preserve">Cronograma y Plan de Despliegue: Infraestructura SAP CAR PRD + Alta Disponibilidad (HA)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5555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Cliente: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Grupo Ramos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5555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Implementación SAP CAR 6.0 — Entorno Productivo (PRD) &amp; Clústeres HA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5555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Responsable Técnico: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Equipo Google Cloud / WSTI Cloud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color w:val="55555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Fecha de Entrega: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Julio 2026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documento establece el cronograma de actividades, análisis de viabilidad, prerrequisitos mandatorios y matriz de riesgos para la implementación de la infraestructura del entorno productivo (PRD)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SAP CAR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 su posterior evolución a un esquema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Alta Disponibilidad (HA) Completo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Google Cloud Platform (GCP). El objetivo es alinear las tareas técnicas entre el equipo de Infraestructura Cloud, la gestión de proyectos (PM) y el equipo de SAP Basis para garantizar un despliegue controlado, resguardando la estabilidad del entorno corporativo.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2. Análisis de Viabilidad: Despliegue PRD Base vs. Infraestructura HA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Ante la consulta sobre la viabilidad de ejecutar primero la creación del entorno PRD Base (standalone) y posteriormente incorporar los componentes de Alta Disponibilidad, la evaluación técnica determina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 altamente viable y representa la mejor práctica recomendada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por los siguientes motivos: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Desacoplamiento Operativo (Fase 1 - PRD Base):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Permite aprovisionar de manera inmediata los nodos primarios (vhgrrcapapp01, vhgrrcapdb01 y vhgrrwdp01). Esto habilita al equipo de SAP Basis a comenzar la instalación de SAP CAR, validación del kernel y conectividad sin requerir configuraciones complejas de clúster ni depender de la totalidad de las IPs fijas.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Acoplamiento Sin Corte (Fase 2 - Infraestructura HA):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Al utilizar Infraestructura como Código (Terraform) y una arquitectura de almacenamiento desacoplado, la adición de los nodos secundarios (app02, db02, wdp02), los servidores ASCS/ERS y los Internal Load Balancers (ILB) se ejecuta en paralelo sin generar indisponibilidad sobre la infraestructura primaria ya construida.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3. Matriz de Prerrequisitos y Dependencias de Red (Shared VPC)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Debido a que el entorno reside sobre una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VPC Compartida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(gramos-prj-qa-shd-net-01 / PRD Host Project), las siguientes configuraciones están fuera del control del equipo de cómputo y deben ser gestionadas proactivamente por Grupo Ramos como condición previa para no afectar el camino crítico del cronograma:</w:t>
      </w:r>
    </w:p>
    <w:tbl>
      <w:tblPr>
        <w:tblStyle w:val="Table1"/>
        <w:tblW w:w="9360.0" w:type="dxa"/>
        <w:jc w:val="left"/>
        <w:tblBorders>
          <w:top w:color="eeeeee" w:space="0" w:sz="6" w:val="single"/>
          <w:left w:color="eeeeee" w:space="0" w:sz="6" w:val="single"/>
          <w:bottom w:color="eeeeee" w:space="0" w:sz="6" w:val="single"/>
          <w:right w:color="eeeeee" w:space="0" w:sz="6" w:val="single"/>
          <w:insideH w:color="eeeeee" w:space="0" w:sz="6" w:val="single"/>
          <w:insideV w:color="eeeeee" w:space="0" w:sz="6" w:val="single"/>
        </w:tblBorders>
        <w:tblLayout w:type="fixed"/>
        <w:tblLook w:val="0600"/>
      </w:tblPr>
      <w:tblGrid>
        <w:gridCol w:w="2340"/>
        <w:gridCol w:w="4212"/>
        <w:gridCol w:w="2808"/>
        <w:tblGridChange w:id="0">
          <w:tblGrid>
            <w:gridCol w:w="2340"/>
            <w:gridCol w:w="4212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Recurso / Componente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Requisito Técnico Mandatorio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Impacto / Responsable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Direccionamiento IP Estático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Reserva y autorización en la subred de PRD (10.79.12.0/24) para las IPs de servidores (10.79.12.20 al .25) y al menos 3 IPs estáticas adicionales para las VIPs de los clústeres.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Bloqueante para IaC.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Redes Ramos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Firewall: Health Checks de GCP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Apertura de reglas de Ingress para permitir tráfico desde los rangos oficiales de los sondeadores de Google: 130.211.0.0/22 y 35.191.0.0/16 hacia las instancias de PRD.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Bloqueante para ILB / VIP.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Responsable: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Seguridad Ramos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Firewall: Puertos Internos SAP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Habilitación del tráfico TCP inter-servidores para los rangos: 21, 22, 25, 1128, 1129, 4237, 3000-3999, 8000-8999, 25000-25999, 30000-39999, 44300-44399 y 50000-59999.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Bloqueante para instalación Basis.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Redes Ramos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Permisos IAM y OS Feature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Habilitar propiedad can_ip_forward = true en VMs y otorgar permisos de Compute Instance Admin para el uso del agente STONITH (fence_gce).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Bloqueante para Pacemaker.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Responsable: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 Admin GCP Ramos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4. Cronograma Detallado de Actividades (Fases, Ventanas y Responsabilidades)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siguiente cronograma define la secuencia de ejecución técnica, incorporando la duración estimada de esfuerzo para cada una de las fases según la complejidad del entorno productivo:</w:t>
      </w:r>
    </w:p>
    <w:tbl>
      <w:tblPr>
        <w:tblStyle w:val="Table2"/>
        <w:tblW w:w="9360.0" w:type="dxa"/>
        <w:jc w:val="left"/>
        <w:tblBorders>
          <w:top w:color="eeeeee" w:space="0" w:sz="6" w:val="single"/>
          <w:left w:color="eeeeee" w:space="0" w:sz="6" w:val="single"/>
          <w:bottom w:color="eeeeee" w:space="0" w:sz="6" w:val="single"/>
          <w:right w:color="eeeeee" w:space="0" w:sz="6" w:val="single"/>
          <w:insideH w:color="eeeeee" w:space="0" w:sz="6" w:val="single"/>
          <w:insideV w:color="eeeeee" w:space="0" w:sz="6" w:val="single"/>
        </w:tblBorders>
        <w:tblLayout w:type="fixed"/>
        <w:tblLook w:val="0600"/>
      </w:tblPr>
      <w:tblGrid>
        <w:gridCol w:w="936"/>
        <w:gridCol w:w="2808"/>
        <w:gridCol w:w="1404"/>
        <w:gridCol w:w="1404"/>
        <w:gridCol w:w="2808"/>
        <w:tblGridChange w:id="0">
          <w:tblGrid>
            <w:gridCol w:w="936"/>
            <w:gridCol w:w="2808"/>
            <w:gridCol w:w="1404"/>
            <w:gridCol w:w="1404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Fase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Actividad / Entregable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Duración Estimada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¿Requiere Ventana?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Observaciones / Dependencias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Fase 0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Validación de Prerrequisitos y Reserva de Stockout (GCP)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Horas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Solicitar confirmación de cuota y reserva física para instancias m3-ultramem-128 en us-east1-b.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Fase 1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Despliegue IaC - Entorno PRD Base (Standalone)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6 Horas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shd w:fill="auto" w:val="clear"/>
                <w:rtl w:val="0"/>
              </w:rPr>
              <w:t xml:space="preserve">NO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Ejecución de Terraform para aprovisionar las 3 VMs primarias (app01, db01, wdp01) con almacenamiento Hyperdisk Balanced.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Configuración Base OS, Montajes XFS y Handover Inicial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Horas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Configuración de /etc/fstab para particiones HANA y entrega de servidores limpios a SAP Basis para iniciar instalación de aplicación.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Fase 3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Despliegue IaC - Nodos Secundarios y Clúster ASCS/ERS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4 Horas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shd w:fill="auto" w:val="clear"/>
                <w:rtl w:val="0"/>
              </w:rPr>
              <w:t xml:space="preserve">NO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Aprovisionamiento por Terraform de las VMs secundarias (app02, db02, wdp02), nodos ASCS/ERS y el almacenamiento compartido NFS (Filestore 1TB).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Fase 4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Configuración de Red HA (Internal Load Balancers &amp; VIPs)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Horas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SÍ (Pruebas L4)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de los balanceadores internos para ASCS, HANA y WebDispatcher. Coordinación con Basis para validar ruteo hacia nodos activos.</w:t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Fase 5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Tunning OS, Pacemaker y Agente de Fencing (STONITH)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8 Horas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18"/>
                <w:szCs w:val="18"/>
                <w:shd w:fill="auto" w:val="clear"/>
                <w:rtl w:val="0"/>
              </w:rPr>
              <w:t xml:space="preserve">SÍ (Coordinado)</w:t>
            </w:r>
          </w:p>
        </w:tc>
        <w:tc>
          <w:tcPr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Configuración nativa de clústeres en SUSE Linux for SAP. Implementación de esgrimado fence_gce y blindaje del Google Guest 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Fase 6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Certificación HA (UAT) y Handover Definitivo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Horas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SÍ (Mandatoria)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Ejecución de pruebas destructivas (reboot forzado, corte de red, simulación de fallo en ASCS y HANA) para certificar RTO &lt; 2 minutos antes de salida a productivo en vivo.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5. Análisis de Riesgos Críticos en Entorno Productivo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tratarse del entorno productivo, se han identificado los siguientes riesgos operativos de alto impacto junto con sus estrategias de mitigación: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 de Alcance (Excel vs. Arquitectura HA):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archivo Excel validado actualmente por Grupo Ramos incluye únicamente los servidores de aplicación (app01/02), base de datos (db01/02) y WebDispatcher (wdp01/02).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 contempla las 2 máquinas virtuales adicionales e independientes para ASCS y ERS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fueron solicitadas en la arquitectura de HA Completo.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Usar este documento como línea base e incorporar la aprobación formal de las 2 VMs adicionales en la segunda sesión de revisión técnica.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 de Stockout de Hardware (GCP):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Las instancias de base de datos requieren el tipo m3-ultramem-128 (128 vCPUs, 3,904 GB de RAM). Esta familia extrema de memoria tiene disponibilidad física limitada por zona en Google Cloud.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Solicitar de inmediato a Grupo Ramos la gestión de una reserva de capacidad de hardware (Capacity Reservation) en la zona us-east1-b antes del inicio de la ejecución del código.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 de Bloqueo por Permisos de Red (Shared VPC):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Como se experimentó en QA, la falta de apertura de los puertos internos (ej. rangos dinámicos 30000+ y 50000+) en el firewall centralizado paralizará la instalación por parte del equipo de SAP Basis.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Enviar la matriz de prerrequisitos de la Sección 3 al equipo de Redes antes de iniciar la Fase 1.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 de Split-Brain por Fallo en Fencing: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un clúster de base de datos HANA, si la red del clúster falla y el agente de STONITH (fence_gce) no logra apagar el nodo aislado, ambos nodos podrían asumir el rol primario, corrompiendo los datos.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Realizar pruebas exhaustivas de aislamiento de red y certificar los permisos IAM de la cuenta de servicio de GCP antes de entregar el entorno para carga transaccional.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Riesgo de Incompatibilidad del Google Guest Agent: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sistemas SUSE en GCP, el servicio de agente de red local puede sobreescribir las rutas o eliminar los alias de red asociados a la IP Virtual (VIP) durante un failover.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Mitigación: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Modificar los parámetros en /etc/default/instance_configs.cfg para blindar las interfaces gestionadas por Pacemaker.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c3e5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c3e50"/>
          <w:sz w:val="26"/>
          <w:szCs w:val="26"/>
          <w:rtl w:val="0"/>
        </w:rPr>
        <w:t xml:space="preserve">6. Próximos Pasos y Acuerdos para la Sesión Conjunta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Entrega de Documento: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Presentar este informe y el cronograma adjunto antes del mediodía del martes (límite 21/07) para su distribución a Ramón, el PM y la líder de SAP.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Sesión de Revisión con SAP Basis: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Unificar en la llamada conjunta este cronograma de infraestructura con el cronograma de actividades de software e instalación que presentará el equipo SAP.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Firma del Control de Cambios: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Obtener la validación formal del cliente sobre el alcance final (incluyendo las VMs para ASCS/ERS) para dar inicio al aprovisionamiento por código.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