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D94D4" w14:textId="77777777" w:rsidR="00000000" w:rsidRDefault="00215DF4">
      <w:pPr>
        <w:pStyle w:val="Ttulo1"/>
        <w:divId w:val="1197817482"/>
        <w:rPr>
          <w:rFonts w:ascii="Calibri" w:eastAsia="Times New Roman" w:hAnsi="Calibri" w:cs="Calibri"/>
          <w:lang w:val="es-ES"/>
        </w:rPr>
      </w:pPr>
      <w:r>
        <w:rPr>
          <w:rFonts w:ascii="Calibri" w:eastAsia="Times New Roman" w:hAnsi="Calibri" w:cs="Calibri"/>
          <w:lang w:val="es-ES"/>
        </w:rPr>
        <w:t>Sistema de Semáforos Inteligentes</w:t>
      </w:r>
    </w:p>
    <w:p w14:paraId="6DE35B0F" w14:textId="77777777" w:rsidR="00000000" w:rsidRDefault="00215DF4">
      <w:pPr>
        <w:jc w:val="center"/>
        <w:divId w:val="2103719218"/>
        <w:rPr>
          <w:rFonts w:ascii="Calibri" w:eastAsia="Times New Roman" w:hAnsi="Calibri" w:cs="Calibri"/>
          <w:color w:val="4A5568"/>
          <w:sz w:val="28"/>
          <w:szCs w:val="28"/>
          <w:lang w:val="es-ES"/>
        </w:rPr>
      </w:pPr>
      <w:r>
        <w:rPr>
          <w:rFonts w:ascii="Calibri" w:eastAsia="Times New Roman" w:hAnsi="Calibri" w:cs="Calibri"/>
          <w:color w:val="4A5568"/>
          <w:sz w:val="28"/>
          <w:szCs w:val="28"/>
          <w:lang w:val="es-ES"/>
        </w:rPr>
        <w:t>Trabajo Práctico Integrador</w:t>
      </w:r>
    </w:p>
    <w:p w14:paraId="46294AAE" w14:textId="77777777" w:rsidR="00000000" w:rsidRDefault="00215DF4">
      <w:pPr>
        <w:spacing w:before="60" w:after="60"/>
        <w:jc w:val="both"/>
        <w:divId w:val="1197817482"/>
        <w:rPr>
          <w:rFonts w:ascii="Calibri" w:hAnsi="Calibri" w:cs="Calibri"/>
          <w:color w:val="333333"/>
          <w:sz w:val="22"/>
          <w:szCs w:val="22"/>
          <w:lang w:val="es-ES"/>
        </w:rPr>
      </w:pPr>
      <w:r>
        <w:rPr>
          <w:rStyle w:val="Textoennegrita"/>
          <w:rFonts w:ascii="Calibri" w:hAnsi="Calibri" w:cs="Calibri"/>
          <w:color w:val="333333"/>
          <w:sz w:val="22"/>
          <w:szCs w:val="22"/>
          <w:lang w:val="es-ES"/>
        </w:rPr>
        <w:t>Universidad Nacional del Nordeste</w:t>
      </w:r>
    </w:p>
    <w:p w14:paraId="3922D558" w14:textId="77777777" w:rsidR="00000000" w:rsidRDefault="00215DF4">
      <w:pPr>
        <w:spacing w:before="60" w:after="60"/>
        <w:jc w:val="both"/>
        <w:divId w:val="1197817482"/>
        <w:rPr>
          <w:rFonts w:ascii="Calibri" w:hAnsi="Calibri" w:cs="Calibri"/>
          <w:color w:val="333333"/>
          <w:sz w:val="22"/>
          <w:szCs w:val="22"/>
          <w:lang w:val="es-ES"/>
        </w:rPr>
      </w:pPr>
      <w:r>
        <w:rPr>
          <w:rFonts w:ascii="Calibri" w:hAnsi="Calibri" w:cs="Calibri"/>
          <w:color w:val="333333"/>
          <w:sz w:val="22"/>
          <w:szCs w:val="22"/>
          <w:lang w:val="es-ES"/>
        </w:rPr>
        <w:t>Facultad de Ciencias Exactas y Naturales y Agrimensura</w:t>
      </w:r>
    </w:p>
    <w:p w14:paraId="085F6C89" w14:textId="77777777" w:rsidR="00000000" w:rsidRDefault="00215DF4">
      <w:pPr>
        <w:spacing w:before="60" w:after="60"/>
        <w:jc w:val="both"/>
        <w:divId w:val="1197817482"/>
        <w:rPr>
          <w:rFonts w:ascii="Calibri" w:hAnsi="Calibri" w:cs="Calibri"/>
          <w:color w:val="333333"/>
          <w:sz w:val="22"/>
          <w:szCs w:val="22"/>
          <w:lang w:val="es-ES"/>
        </w:rPr>
      </w:pPr>
      <w:r>
        <w:rPr>
          <w:rFonts w:ascii="Calibri" w:hAnsi="Calibri" w:cs="Calibri"/>
          <w:color w:val="333333"/>
          <w:sz w:val="22"/>
          <w:szCs w:val="22"/>
          <w:lang w:val="es-ES"/>
        </w:rPr>
        <w:t>Licenciatura en Sistemas de la Información</w:t>
      </w:r>
    </w:p>
    <w:p w14:paraId="4FD375E5" w14:textId="77777777" w:rsidR="00000000" w:rsidRDefault="00215DF4">
      <w:pPr>
        <w:spacing w:before="60" w:after="60"/>
        <w:jc w:val="both"/>
        <w:divId w:val="1197817482"/>
        <w:rPr>
          <w:rFonts w:ascii="Calibri" w:hAnsi="Calibri" w:cs="Calibri"/>
          <w:color w:val="333333"/>
          <w:sz w:val="22"/>
          <w:szCs w:val="22"/>
          <w:lang w:val="es-ES"/>
        </w:rPr>
      </w:pPr>
      <w:r>
        <w:rPr>
          <w:rFonts w:ascii="Calibri" w:hAnsi="Calibri" w:cs="Calibri"/>
          <w:color w:val="333333"/>
          <w:sz w:val="22"/>
          <w:szCs w:val="22"/>
          <w:lang w:val="es-ES"/>
        </w:rPr>
        <w:t>Cátedra: Paradigmas y Lenguajes de Programación</w:t>
      </w:r>
    </w:p>
    <w:p w14:paraId="7E5EBFE2" w14:textId="77777777" w:rsidR="00000000" w:rsidRDefault="00215DF4">
      <w:pPr>
        <w:shd w:val="clear" w:color="auto" w:fill="F7FAFC"/>
        <w:spacing w:after="100" w:afterAutospacing="1"/>
        <w:outlineLvl w:val="3"/>
        <w:divId w:val="1352873372"/>
        <w:rPr>
          <w:rFonts w:ascii="Calibri" w:eastAsia="Times New Roman" w:hAnsi="Calibri" w:cs="Calibri"/>
          <w:b/>
          <w:bCs/>
          <w:color w:val="2B6CB0"/>
          <w:sz w:val="28"/>
          <w:szCs w:val="28"/>
          <w:lang w:val="es-ES"/>
        </w:rPr>
      </w:pPr>
      <w:r>
        <w:rPr>
          <w:rFonts w:ascii="Calibri" w:eastAsia="Times New Roman" w:hAnsi="Calibri" w:cs="Calibri"/>
          <w:b/>
          <w:bCs/>
          <w:color w:val="2B6CB0"/>
          <w:sz w:val="28"/>
          <w:szCs w:val="28"/>
          <w:lang w:val="es-ES"/>
        </w:rPr>
        <w:t>Datos de la Entrega</w:t>
      </w:r>
    </w:p>
    <w:p w14:paraId="13F43E4F" w14:textId="77777777" w:rsidR="00000000" w:rsidRDefault="00215DF4">
      <w:pPr>
        <w:pStyle w:val="NormalWeb"/>
        <w:shd w:val="clear" w:color="auto" w:fill="F7FAFC"/>
        <w:divId w:val="1352873372"/>
        <w:rPr>
          <w:rFonts w:ascii="Calibri" w:hAnsi="Calibri" w:cs="Calibri"/>
          <w:color w:val="333333"/>
          <w:lang w:val="es-ES"/>
        </w:rPr>
      </w:pPr>
      <w:r>
        <w:rPr>
          <w:rStyle w:val="Textoennegrita"/>
          <w:rFonts w:ascii="Calibri" w:hAnsi="Calibri" w:cs="Calibri"/>
          <w:color w:val="333333"/>
          <w:lang w:val="es-ES"/>
        </w:rPr>
        <w:t>Grupo N°:</w:t>
      </w:r>
      <w:r>
        <w:rPr>
          <w:rFonts w:ascii="Calibri" w:hAnsi="Calibri" w:cs="Calibri"/>
          <w:color w:val="333333"/>
          <w:lang w:val="es-ES"/>
        </w:rPr>
        <w:t xml:space="preserve"> 30</w:t>
      </w:r>
    </w:p>
    <w:p w14:paraId="1C072442" w14:textId="77777777" w:rsidR="00000000" w:rsidRDefault="00215DF4">
      <w:pPr>
        <w:pStyle w:val="NormalWeb"/>
        <w:shd w:val="clear" w:color="auto" w:fill="F7FAFC"/>
        <w:divId w:val="1352873372"/>
        <w:rPr>
          <w:rFonts w:ascii="Calibri" w:hAnsi="Calibri" w:cs="Calibri"/>
          <w:color w:val="333333"/>
          <w:lang w:val="es-ES"/>
        </w:rPr>
      </w:pPr>
      <w:r>
        <w:rPr>
          <w:rStyle w:val="Textoennegrita"/>
          <w:rFonts w:ascii="Calibri" w:hAnsi="Calibri" w:cs="Calibri"/>
          <w:color w:val="333333"/>
          <w:lang w:val="es-ES"/>
        </w:rPr>
        <w:t>Integrante:</w:t>
      </w:r>
      <w:r>
        <w:rPr>
          <w:rFonts w:ascii="Calibri" w:hAnsi="Calibri" w:cs="Calibri"/>
          <w:color w:val="333333"/>
          <w:lang w:val="es-ES"/>
        </w:rPr>
        <w:t xml:space="preserve"> Zacarías Blanco, Fernando Iván</w:t>
      </w:r>
    </w:p>
    <w:p w14:paraId="5906BD5C" w14:textId="77777777" w:rsidR="00000000" w:rsidRDefault="00215DF4">
      <w:pPr>
        <w:pStyle w:val="NormalWeb"/>
        <w:shd w:val="clear" w:color="auto" w:fill="F7FAFC"/>
        <w:divId w:val="1352873372"/>
        <w:rPr>
          <w:rFonts w:ascii="Calibri" w:hAnsi="Calibri" w:cs="Calibri"/>
          <w:color w:val="333333"/>
          <w:lang w:val="es-ES"/>
        </w:rPr>
      </w:pPr>
      <w:r>
        <w:rPr>
          <w:rStyle w:val="Textoennegrita"/>
          <w:rFonts w:ascii="Calibri" w:hAnsi="Calibri" w:cs="Calibri"/>
          <w:color w:val="333333"/>
          <w:lang w:val="es-ES"/>
        </w:rPr>
        <w:t>Año Académico:</w:t>
      </w:r>
      <w:r>
        <w:rPr>
          <w:rFonts w:ascii="Calibri" w:hAnsi="Calibri" w:cs="Calibri"/>
          <w:color w:val="333333"/>
          <w:lang w:val="es-ES"/>
        </w:rPr>
        <w:t xml:space="preserve"> 2026</w:t>
      </w:r>
    </w:p>
    <w:p w14:paraId="729B53E7" w14:textId="77777777" w:rsidR="00000000" w:rsidRDefault="00215DF4">
      <w:pPr>
        <w:pStyle w:val="Ttulo2"/>
        <w:divId w:val="1995796581"/>
        <w:rPr>
          <w:rFonts w:ascii="Calibri" w:eastAsia="Times New Roman" w:hAnsi="Calibri" w:cs="Calibri"/>
          <w:lang w:val="es-ES"/>
        </w:rPr>
      </w:pPr>
      <w:r>
        <w:rPr>
          <w:rFonts w:ascii="Calibri" w:eastAsia="Times New Roman" w:hAnsi="Calibri" w:cs="Calibri"/>
          <w:lang w:val="es-ES"/>
        </w:rPr>
        <w:t>Introducción</w:t>
      </w:r>
    </w:p>
    <w:p w14:paraId="4BEEAAD2"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El presente trabajo tiene como objetivo aplicar los conceptos fundamentales del paradigma funcional</w:t>
      </w:r>
      <w:r>
        <w:rPr>
          <w:rFonts w:ascii="Calibri" w:hAnsi="Calibri" w:cs="Calibri"/>
          <w:color w:val="333333"/>
          <w:lang w:val="es-ES"/>
        </w:rPr>
        <w:t xml:space="preserve"> mediante el diseño e implementación de un sistema de simulación de semáforos inteligentes. Para este propósito, se seleccionó </w:t>
      </w:r>
      <w:r>
        <w:rPr>
          <w:rStyle w:val="Textoennegrita"/>
          <w:rFonts w:ascii="Calibri" w:hAnsi="Calibri" w:cs="Calibri"/>
          <w:color w:val="333333"/>
          <w:lang w:val="es-ES"/>
        </w:rPr>
        <w:t>Common Lisp</w:t>
      </w:r>
      <w:r>
        <w:rPr>
          <w:rFonts w:ascii="Calibri" w:hAnsi="Calibri" w:cs="Calibri"/>
          <w:color w:val="333333"/>
          <w:lang w:val="es-ES"/>
        </w:rPr>
        <w:t xml:space="preserve"> como lenguaje de desarrollo principal, promoviendo el uso exhaustivo de funciones puras, inmutabilidad, composición d</w:t>
      </w:r>
      <w:r>
        <w:rPr>
          <w:rFonts w:ascii="Calibri" w:hAnsi="Calibri" w:cs="Calibri"/>
          <w:color w:val="333333"/>
          <w:lang w:val="es-ES"/>
        </w:rPr>
        <w:t>e funciones y un riguroso desacoplamiento entre la lógica de negocio y los parámetros de configuración externos.</w:t>
      </w:r>
    </w:p>
    <w:p w14:paraId="1E1C1554" w14:textId="77777777" w:rsidR="00000000" w:rsidRDefault="00215DF4">
      <w:pPr>
        <w:pStyle w:val="Ttulo2"/>
        <w:divId w:val="1995796581"/>
        <w:rPr>
          <w:rFonts w:ascii="Calibri" w:eastAsia="Times New Roman" w:hAnsi="Calibri" w:cs="Calibri"/>
          <w:lang w:val="es-ES"/>
        </w:rPr>
      </w:pPr>
      <w:r>
        <w:rPr>
          <w:rFonts w:ascii="Calibri" w:eastAsia="Times New Roman" w:hAnsi="Calibri" w:cs="Calibri"/>
          <w:lang w:val="es-ES"/>
        </w:rPr>
        <w:t>Fase 1: Implementación en Common Lisp</w:t>
      </w:r>
    </w:p>
    <w:p w14:paraId="366B0598"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Durante esta primera etapa del proyecto, se modelaron y desarrollaron las funcionalidades clave del flujo</w:t>
      </w:r>
      <w:r>
        <w:rPr>
          <w:rFonts w:ascii="Calibri" w:hAnsi="Calibri" w:cs="Calibri"/>
          <w:color w:val="333333"/>
          <w:lang w:val="es-ES"/>
        </w:rPr>
        <w:t xml:space="preserve"> del semáforo. La arquitectura fue diseñada para clasificar cada rutina de acuerdo a su naturaleza (pura o impura) y su interacción con el estado general de la aplicación:</w:t>
      </w:r>
    </w:p>
    <w:p w14:paraId="42C25609" w14:textId="77777777" w:rsidR="00000000"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Transición de estados secuencial.</w:t>
      </w:r>
    </w:p>
    <w:p w14:paraId="346B6B7D" w14:textId="77777777" w:rsidR="00000000"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Temporizador controlado por intervalos.</w:t>
      </w:r>
    </w:p>
    <w:p w14:paraId="18077A8C" w14:textId="77777777" w:rsidR="00000000"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lastRenderedPageBreak/>
        <w:t>Registro c</w:t>
      </w:r>
      <w:r>
        <w:rPr>
          <w:rFonts w:ascii="Calibri" w:eastAsia="Times New Roman" w:hAnsi="Calibri" w:cs="Calibri"/>
          <w:color w:val="333333"/>
          <w:sz w:val="22"/>
          <w:szCs w:val="22"/>
          <w:lang w:val="es-ES"/>
        </w:rPr>
        <w:t>ronológico de eventos en consola.</w:t>
      </w:r>
    </w:p>
    <w:p w14:paraId="71F5020E" w14:textId="77777777" w:rsidR="00000000"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Cálculo dinámico de ciclos y evaluación de pertinencia temporal.</w:t>
      </w:r>
    </w:p>
    <w:p w14:paraId="5F5CD1F0" w14:textId="77777777" w:rsidR="00000000"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Distribución porcentual de los tiempos de color.</w:t>
      </w:r>
    </w:p>
    <w:p w14:paraId="06EED1F6"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1. Función de Transición de Estados</w:t>
      </w:r>
    </w:p>
    <w:p w14:paraId="12F981D1"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transicion</w:t>
      </w:r>
      <w:r>
        <w:rPr>
          <w:rFonts w:ascii="Calibri" w:hAnsi="Calibri" w:cs="Calibri"/>
          <w:color w:val="333333"/>
          <w:lang w:val="es-ES"/>
        </w:rPr>
        <w:t xml:space="preserve"> se encarga de modelar el ciclo básico de colores. </w:t>
      </w:r>
      <w:r>
        <w:rPr>
          <w:rFonts w:ascii="Calibri" w:hAnsi="Calibri" w:cs="Calibri"/>
          <w:color w:val="333333"/>
          <w:lang w:val="es-ES"/>
        </w:rPr>
        <w:t>Valida de manera segura que los cambios solicitados por el controlador respeten la secuencia lógica vial permitida.</w:t>
      </w:r>
    </w:p>
    <w:p w14:paraId="08F5F24A"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Se utiliza la estructura condicional </w:t>
      </w:r>
      <w:r>
        <w:rPr>
          <w:rStyle w:val="CdigoHTML"/>
          <w:color w:val="333333"/>
          <w:lang w:val="es-ES"/>
        </w:rPr>
        <w:t>COND</w:t>
      </w:r>
      <w:r>
        <w:rPr>
          <w:rFonts w:ascii="Calibri" w:hAnsi="Calibri" w:cs="Calibri"/>
          <w:color w:val="333333"/>
          <w:lang w:val="es-ES"/>
        </w:rPr>
        <w:t>, nativa de Common Lisp, evaluando la coherencia entre el estado de origen y el de destino. Las úni</w:t>
      </w:r>
      <w:r>
        <w:rPr>
          <w:rFonts w:ascii="Calibri" w:hAnsi="Calibri" w:cs="Calibri"/>
          <w:color w:val="333333"/>
          <w:lang w:val="es-ES"/>
        </w:rPr>
        <w:t>cas transiciones catalogadas como válidas son:</w:t>
      </w:r>
    </w:p>
    <w:p w14:paraId="5E5CBFAC" w14:textId="77777777" w:rsidR="00000000"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Rojo → Verde</w:t>
      </w:r>
    </w:p>
    <w:p w14:paraId="27320B91" w14:textId="77777777" w:rsidR="00000000"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Verde → Amarillo</w:t>
      </w:r>
    </w:p>
    <w:p w14:paraId="45F28A99" w14:textId="77777777" w:rsidR="00000000"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Amarillo → Rojo</w:t>
      </w:r>
    </w:p>
    <w:p w14:paraId="04BBF005"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Ante una solicitud válida, retorna una lista compuesta por el estado actual y la acción vial que debe desencadenarse. Caso contrario, se activa una acción genérica de prevención por defecto.</w:t>
      </w:r>
    </w:p>
    <w:p w14:paraId="38F39A87" w14:textId="77777777" w:rsidR="00000000" w:rsidRDefault="00215DF4">
      <w:pPr>
        <w:shd w:val="clear" w:color="auto" w:fill="EBF8FF"/>
        <w:divId w:val="2028020058"/>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No modifica ningún estado externo y </w:t>
      </w:r>
      <w:r>
        <w:rPr>
          <w:rFonts w:ascii="Calibri" w:eastAsia="Times New Roman" w:hAnsi="Calibri" w:cs="Calibri"/>
          <w:i/>
          <w:iCs/>
          <w:color w:val="333333"/>
          <w:lang w:val="es-ES"/>
        </w:rPr>
        <w:t xml:space="preserve">genera de forma predecible el mismo resultado para el mismo juego de argumentos. </w:t>
      </w:r>
    </w:p>
    <w:p w14:paraId="747BF50C" w14:textId="77777777" w:rsidR="00000000"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Ejemplo de ejecución:</w:t>
      </w:r>
    </w:p>
    <w:p w14:paraId="5274BC8D" w14:textId="77777777" w:rsidR="00000000" w:rsidRDefault="00215DF4">
      <w:pPr>
        <w:pStyle w:val="HTMLconformatoprevio"/>
        <w:divId w:val="1995796581"/>
        <w:rPr>
          <w:sz w:val="20"/>
          <w:szCs w:val="20"/>
          <w:lang w:val="es-ES"/>
        </w:rPr>
      </w:pPr>
      <w:r>
        <w:rPr>
          <w:sz w:val="20"/>
          <w:szCs w:val="20"/>
          <w:lang w:val="es-ES"/>
        </w:rPr>
        <w:t>(transicion 'en-rojo 'verde)</w:t>
      </w:r>
    </w:p>
    <w:p w14:paraId="63725C57" w14:textId="77777777" w:rsidR="00000000" w:rsidRDefault="00215DF4">
      <w:pPr>
        <w:pStyle w:val="HTMLconformatoprevio"/>
        <w:divId w:val="1995796581"/>
        <w:rPr>
          <w:lang w:val="es-ES"/>
        </w:rPr>
      </w:pPr>
      <w:r>
        <w:rPr>
          <w:sz w:val="20"/>
          <w:szCs w:val="20"/>
          <w:lang w:val="es-ES"/>
        </w:rPr>
        <w:t>;; Retorno obtenido: (EN-ROJO "cambiar-a-verde")</w:t>
      </w:r>
    </w:p>
    <w:p w14:paraId="354D5DC2"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2. Función Temporizador</w:t>
      </w:r>
    </w:p>
    <w:p w14:paraId="7412A162"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timer-semaforo</w:t>
      </w:r>
      <w:r>
        <w:rPr>
          <w:rFonts w:ascii="Calibri" w:hAnsi="Calibri" w:cs="Calibri"/>
          <w:color w:val="333333"/>
          <w:lang w:val="es-ES"/>
        </w:rPr>
        <w:t xml:space="preserve"> calcula el estado exacto</w:t>
      </w:r>
      <w:r>
        <w:rPr>
          <w:rFonts w:ascii="Calibri" w:hAnsi="Calibri" w:cs="Calibri"/>
          <w:color w:val="333333"/>
          <w:lang w:val="es-ES"/>
        </w:rPr>
        <w:t xml:space="preserve"> del semáforo en un instante temporal cualquiera. Para ello, sincroniza el tiempo actual con las duraciones configuradas para cada color, las cuales son leídas de forma externa.</w:t>
      </w:r>
    </w:p>
    <w:p w14:paraId="09C61880"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Utiliza la operación aritmética </w:t>
      </w:r>
      <w:r>
        <w:rPr>
          <w:rStyle w:val="CdigoHTML"/>
          <w:color w:val="333333"/>
          <w:lang w:val="es-ES"/>
        </w:rPr>
        <w:t>mod</w:t>
      </w:r>
      <w:r>
        <w:rPr>
          <w:rFonts w:ascii="Calibri" w:hAnsi="Calibri" w:cs="Calibri"/>
          <w:color w:val="333333"/>
          <w:lang w:val="es-ES"/>
        </w:rPr>
        <w:t xml:space="preserve"> para ubicar la posición exacta del segundo</w:t>
      </w:r>
      <w:r>
        <w:rPr>
          <w:rFonts w:ascii="Calibri" w:hAnsi="Calibri" w:cs="Calibri"/>
          <w:color w:val="333333"/>
          <w:lang w:val="es-ES"/>
        </w:rPr>
        <w:t xml:space="preserve"> consultado dentro de la duración total del ciclo acumulado. Esta técnica modular permite una simulación infinita y recurrente del semáforo sin necesidad de resetear variables de control.</w:t>
      </w:r>
    </w:p>
    <w:p w14:paraId="0FA6AF8F" w14:textId="77777777" w:rsidR="00000000" w:rsidRDefault="00215DF4">
      <w:pPr>
        <w:shd w:val="clear" w:color="auto" w:fill="EBF8FF"/>
        <w:divId w:val="301346570"/>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Su comportamiento es determinista y no </w:t>
      </w:r>
      <w:r>
        <w:rPr>
          <w:rFonts w:ascii="Calibri" w:eastAsia="Times New Roman" w:hAnsi="Calibri" w:cs="Calibri"/>
          <w:i/>
          <w:iCs/>
          <w:color w:val="333333"/>
          <w:lang w:val="es-ES"/>
        </w:rPr>
        <w:t xml:space="preserve">genera efectos colaterales sobre variables ni punteros globales. </w:t>
      </w:r>
    </w:p>
    <w:p w14:paraId="08A9B840"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Considerando la configuración de ejemplo:</w:t>
      </w:r>
    </w:p>
    <w:p w14:paraId="720E24AC" w14:textId="77777777" w:rsidR="00000000" w:rsidRDefault="00215DF4">
      <w:pPr>
        <w:pStyle w:val="HTMLconformatoprevio"/>
        <w:divId w:val="1995796581"/>
        <w:rPr>
          <w:sz w:val="20"/>
          <w:szCs w:val="20"/>
          <w:lang w:val="es-ES"/>
        </w:rPr>
      </w:pPr>
      <w:r>
        <w:rPr>
          <w:sz w:val="20"/>
          <w:szCs w:val="20"/>
          <w:lang w:val="es-ES"/>
        </w:rPr>
        <w:t>{</w:t>
      </w:r>
    </w:p>
    <w:p w14:paraId="23A1C7E2" w14:textId="77777777" w:rsidR="00000000" w:rsidRDefault="00215DF4">
      <w:pPr>
        <w:pStyle w:val="HTMLconformatoprevio"/>
        <w:divId w:val="1995796581"/>
        <w:rPr>
          <w:sz w:val="20"/>
          <w:szCs w:val="20"/>
          <w:lang w:val="es-ES"/>
        </w:rPr>
      </w:pPr>
      <w:r>
        <w:rPr>
          <w:sz w:val="20"/>
          <w:szCs w:val="20"/>
          <w:lang w:val="es-ES"/>
        </w:rPr>
        <w:t xml:space="preserve">  "rojo": 90,</w:t>
      </w:r>
    </w:p>
    <w:p w14:paraId="107DE413" w14:textId="77777777" w:rsidR="00000000" w:rsidRDefault="00215DF4">
      <w:pPr>
        <w:pStyle w:val="HTMLconformatoprevio"/>
        <w:divId w:val="1995796581"/>
        <w:rPr>
          <w:sz w:val="20"/>
          <w:szCs w:val="20"/>
          <w:lang w:val="es-ES"/>
        </w:rPr>
      </w:pPr>
      <w:r>
        <w:rPr>
          <w:sz w:val="20"/>
          <w:szCs w:val="20"/>
          <w:lang w:val="es-ES"/>
        </w:rPr>
        <w:lastRenderedPageBreak/>
        <w:t xml:space="preserve">  "amarillo": 6,</w:t>
      </w:r>
    </w:p>
    <w:p w14:paraId="48A35E81" w14:textId="77777777" w:rsidR="00000000" w:rsidRDefault="00215DF4">
      <w:pPr>
        <w:pStyle w:val="HTMLconformatoprevio"/>
        <w:divId w:val="1995796581"/>
        <w:rPr>
          <w:sz w:val="20"/>
          <w:szCs w:val="20"/>
          <w:lang w:val="es-ES"/>
        </w:rPr>
      </w:pPr>
      <w:r>
        <w:rPr>
          <w:sz w:val="20"/>
          <w:szCs w:val="20"/>
          <w:lang w:val="es-ES"/>
        </w:rPr>
        <w:t xml:space="preserve">  "verde": 120</w:t>
      </w:r>
    </w:p>
    <w:p w14:paraId="3E6D5E25" w14:textId="77777777" w:rsidR="00000000" w:rsidRDefault="00215DF4">
      <w:pPr>
        <w:pStyle w:val="HTMLconformatoprevio"/>
        <w:divId w:val="1995796581"/>
        <w:rPr>
          <w:lang w:val="es-ES"/>
        </w:rPr>
      </w:pPr>
      <w:r>
        <w:rPr>
          <w:sz w:val="20"/>
          <w:szCs w:val="20"/>
          <w:lang w:val="es-ES"/>
        </w:rPr>
        <w:t>}</w:t>
      </w:r>
    </w:p>
    <w:p w14:paraId="04C17EC5"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El ciclo total resultante es de 216 segundos. Las pruebas arrojaron:</w:t>
      </w:r>
    </w:p>
    <w:p w14:paraId="0E29106E" w14:textId="77777777" w:rsidR="00000000" w:rsidRDefault="00215DF4">
      <w:pPr>
        <w:pStyle w:val="HTMLconformatoprevio"/>
        <w:divId w:val="1995796581"/>
        <w:rPr>
          <w:sz w:val="20"/>
          <w:szCs w:val="20"/>
          <w:lang w:val="es-ES"/>
        </w:rPr>
      </w:pPr>
      <w:r>
        <w:rPr>
          <w:sz w:val="20"/>
          <w:szCs w:val="20"/>
          <w:lang w:val="es-ES"/>
        </w:rPr>
        <w:t>(timer-semaforo 0)     ; ROJO</w:t>
      </w:r>
    </w:p>
    <w:p w14:paraId="5867FCAA" w14:textId="77777777" w:rsidR="00000000" w:rsidRDefault="00215DF4">
      <w:pPr>
        <w:pStyle w:val="HTMLconformatoprevio"/>
        <w:divId w:val="1995796581"/>
        <w:rPr>
          <w:sz w:val="20"/>
          <w:szCs w:val="20"/>
          <w:lang w:val="es-ES"/>
        </w:rPr>
      </w:pPr>
      <w:r>
        <w:rPr>
          <w:sz w:val="20"/>
          <w:szCs w:val="20"/>
          <w:lang w:val="es-ES"/>
        </w:rPr>
        <w:t>(timer-semaforo 90)    ; AMARILLO</w:t>
      </w:r>
    </w:p>
    <w:p w14:paraId="2854E225" w14:textId="77777777" w:rsidR="00000000" w:rsidRDefault="00215DF4">
      <w:pPr>
        <w:pStyle w:val="HTMLconformatoprevio"/>
        <w:divId w:val="1995796581"/>
        <w:rPr>
          <w:sz w:val="20"/>
          <w:szCs w:val="20"/>
          <w:lang w:val="es-ES"/>
        </w:rPr>
      </w:pPr>
      <w:r>
        <w:rPr>
          <w:sz w:val="20"/>
          <w:szCs w:val="20"/>
          <w:lang w:val="es-ES"/>
        </w:rPr>
        <w:t>(timer-semaforo 96)    ; VERDE</w:t>
      </w:r>
    </w:p>
    <w:p w14:paraId="5B747DDB" w14:textId="77777777" w:rsidR="00000000" w:rsidRDefault="00215DF4">
      <w:pPr>
        <w:pStyle w:val="HTMLconformatoprevio"/>
        <w:divId w:val="1995796581"/>
        <w:rPr>
          <w:lang w:val="es-ES"/>
        </w:rPr>
      </w:pPr>
      <w:r>
        <w:rPr>
          <w:sz w:val="20"/>
          <w:szCs w:val="20"/>
          <w:lang w:val="es-ES"/>
        </w:rPr>
        <w:t>(timer-semaforo 216)   ; ROJO</w:t>
      </w:r>
    </w:p>
    <w:p w14:paraId="1F0D214A"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3. Función de Registro de Eventos</w:t>
      </w:r>
    </w:p>
    <w:p w14:paraId="55C2C87B"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log-cambio</w:t>
      </w:r>
      <w:r>
        <w:rPr>
          <w:rFonts w:ascii="Calibri" w:hAnsi="Calibri" w:cs="Calibri"/>
          <w:color w:val="333333"/>
          <w:lang w:val="es-ES"/>
        </w:rPr>
        <w:t xml:space="preserve"> reporta las variaciones en las señales a medida que transcurre el tiempo lógico. Emplea la macro </w:t>
      </w:r>
      <w:r>
        <w:rPr>
          <w:rStyle w:val="CdigoHTML"/>
          <w:color w:val="333333"/>
          <w:lang w:val="es-ES"/>
        </w:rPr>
        <w:t>FORMAT</w:t>
      </w:r>
      <w:r>
        <w:rPr>
          <w:rFonts w:ascii="Calibri" w:hAnsi="Calibri" w:cs="Calibri"/>
          <w:color w:val="333333"/>
          <w:lang w:val="es-ES"/>
        </w:rPr>
        <w:t xml:space="preserve"> </w:t>
      </w:r>
      <w:r>
        <w:rPr>
          <w:rFonts w:ascii="Calibri" w:hAnsi="Calibri" w:cs="Calibri"/>
          <w:color w:val="333333"/>
          <w:lang w:val="es-ES"/>
        </w:rPr>
        <w:t>para construir y escribir un reporte formateado directo en el buffer de salida estándar de la consola.</w:t>
      </w:r>
    </w:p>
    <w:p w14:paraId="2C920428" w14:textId="77777777" w:rsidR="00000000"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Ejemplo de ejecución:</w:t>
      </w:r>
    </w:p>
    <w:p w14:paraId="78B63477" w14:textId="77777777" w:rsidR="00000000" w:rsidRDefault="00215DF4">
      <w:pPr>
        <w:pStyle w:val="HTMLconformatoprevio"/>
        <w:divId w:val="1995796581"/>
        <w:rPr>
          <w:sz w:val="20"/>
          <w:szCs w:val="20"/>
          <w:lang w:val="es-ES"/>
        </w:rPr>
      </w:pPr>
      <w:r>
        <w:rPr>
          <w:sz w:val="20"/>
          <w:szCs w:val="20"/>
          <w:lang w:val="es-ES"/>
        </w:rPr>
        <w:t>(log-cambio 1717513200 'rojo 'verde)</w:t>
      </w:r>
    </w:p>
    <w:p w14:paraId="0107B371" w14:textId="77777777" w:rsidR="00000000" w:rsidRDefault="00215DF4">
      <w:pPr>
        <w:pStyle w:val="HTMLconformatoprevio"/>
        <w:divId w:val="1995796581"/>
        <w:rPr>
          <w:lang w:val="es-ES"/>
        </w:rPr>
      </w:pPr>
      <w:r>
        <w:rPr>
          <w:sz w:val="20"/>
          <w:szCs w:val="20"/>
          <w:lang w:val="es-ES"/>
        </w:rPr>
        <w:t>;; Salida en consola: Tiempo 1717513200: la luz ha cambiado de ROJO a VERDE</w:t>
      </w:r>
    </w:p>
    <w:p w14:paraId="1F7BB36B" w14:textId="77777777" w:rsidR="00000000" w:rsidRDefault="00215DF4">
      <w:pPr>
        <w:shd w:val="clear" w:color="auto" w:fill="EBF8FF"/>
        <w:divId w:val="486285850"/>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Impura. Aunque no altera estructuras de datos del programa, interactúa directamente con el flujo de Entrada/Salida del sistema operativo, generando un efecto</w:t>
      </w:r>
      <w:r>
        <w:rPr>
          <w:rFonts w:ascii="Calibri" w:eastAsia="Times New Roman" w:hAnsi="Calibri" w:cs="Calibri"/>
          <w:i/>
          <w:iCs/>
          <w:color w:val="333333"/>
          <w:lang w:val="es-ES"/>
        </w:rPr>
        <w:t xml:space="preserve"> secundario observable fuera de la máquina virtual del lenguaje. </w:t>
      </w:r>
    </w:p>
    <w:p w14:paraId="679EE0A5"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4. Función de Recomendación de Ciclo</w:t>
      </w:r>
    </w:p>
    <w:p w14:paraId="551CF7F0"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Para brindar inteligencia de negocio, la función </w:t>
      </w:r>
      <w:r>
        <w:rPr>
          <w:rStyle w:val="CdigoHTML"/>
          <w:color w:val="333333"/>
          <w:lang w:val="es-ES"/>
        </w:rPr>
        <w:t>recomendacion-ciclo</w:t>
      </w:r>
      <w:r>
        <w:rPr>
          <w:rFonts w:ascii="Calibri" w:hAnsi="Calibri" w:cs="Calibri"/>
          <w:color w:val="333333"/>
          <w:lang w:val="es-ES"/>
        </w:rPr>
        <w:t xml:space="preserve"> </w:t>
      </w:r>
      <w:r>
        <w:rPr>
          <w:rFonts w:ascii="Calibri" w:hAnsi="Calibri" w:cs="Calibri"/>
          <w:color w:val="333333"/>
          <w:lang w:val="es-ES"/>
        </w:rPr>
        <w:t>evalúa de manera analítica si los tiempos parametrizados se corresponden con buenas prácticas internacionales de tránsito urbano.</w:t>
      </w:r>
    </w:p>
    <w:tbl>
      <w:tblPr>
        <w:tblW w:w="5000" w:type="pct"/>
        <w:tblCellMar>
          <w:top w:w="15" w:type="dxa"/>
          <w:left w:w="15" w:type="dxa"/>
          <w:bottom w:w="15" w:type="dxa"/>
          <w:right w:w="15" w:type="dxa"/>
        </w:tblCellMar>
        <w:tblLook w:val="04A0" w:firstRow="1" w:lastRow="0" w:firstColumn="1" w:lastColumn="0" w:noHBand="0" w:noVBand="1"/>
      </w:tblPr>
      <w:tblGrid>
        <w:gridCol w:w="3843"/>
        <w:gridCol w:w="4661"/>
      </w:tblGrid>
      <w:tr w:rsidR="00000000" w14:paraId="1A38D6B5" w14:textId="77777777">
        <w:trPr>
          <w:divId w:val="1995796581"/>
          <w:tblHeader/>
        </w:trPr>
        <w:tc>
          <w:tcPr>
            <w:tcW w:w="0" w:type="auto"/>
            <w:shd w:val="clear" w:color="auto" w:fill="2B6CB0"/>
            <w:tcMar>
              <w:top w:w="150" w:type="dxa"/>
              <w:left w:w="150" w:type="dxa"/>
              <w:bottom w:w="150" w:type="dxa"/>
              <w:right w:w="150" w:type="dxa"/>
            </w:tcMar>
            <w:vAlign w:val="center"/>
            <w:hideMark/>
          </w:tcPr>
          <w:p w14:paraId="53609A30" w14:textId="77777777" w:rsidR="00000000"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Rango de Duración (Segundos)</w:t>
            </w:r>
          </w:p>
        </w:tc>
        <w:tc>
          <w:tcPr>
            <w:tcW w:w="0" w:type="auto"/>
            <w:shd w:val="clear" w:color="auto" w:fill="2B6CB0"/>
            <w:tcMar>
              <w:top w:w="150" w:type="dxa"/>
              <w:left w:w="150" w:type="dxa"/>
              <w:bottom w:w="150" w:type="dxa"/>
              <w:right w:w="150" w:type="dxa"/>
            </w:tcMar>
            <w:vAlign w:val="center"/>
            <w:hideMark/>
          </w:tcPr>
          <w:p w14:paraId="3C0801C6" w14:textId="77777777" w:rsidR="00000000"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Diagnóstico del Sistema</w:t>
            </w:r>
          </w:p>
        </w:tc>
      </w:tr>
      <w:tr w:rsidR="00000000" w14:paraId="5BD420CD"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1191A610"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Menor a 35 s</w:t>
            </w:r>
          </w:p>
        </w:tc>
        <w:tc>
          <w:tcPr>
            <w:tcW w:w="0" w:type="auto"/>
            <w:tcBorders>
              <w:bottom w:val="single" w:sz="6" w:space="0" w:color="E2E8F0"/>
            </w:tcBorders>
            <w:tcMar>
              <w:top w:w="150" w:type="dxa"/>
              <w:left w:w="150" w:type="dxa"/>
              <w:bottom w:w="150" w:type="dxa"/>
              <w:right w:w="150" w:type="dxa"/>
            </w:tcMar>
            <w:vAlign w:val="center"/>
            <w:hideMark/>
          </w:tcPr>
          <w:p w14:paraId="1B9C7228"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corto"</w:t>
            </w:r>
          </w:p>
        </w:tc>
      </w:tr>
      <w:tr w:rsidR="00000000" w14:paraId="57ED64B1"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73FB421E"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lastRenderedPageBreak/>
              <w:t>Entre 35 s y 150 s</w:t>
            </w:r>
          </w:p>
        </w:tc>
        <w:tc>
          <w:tcPr>
            <w:tcW w:w="0" w:type="auto"/>
            <w:tcBorders>
              <w:bottom w:val="single" w:sz="6" w:space="0" w:color="E2E8F0"/>
            </w:tcBorders>
            <w:tcMar>
              <w:top w:w="150" w:type="dxa"/>
              <w:left w:w="150" w:type="dxa"/>
              <w:bottom w:w="150" w:type="dxa"/>
              <w:right w:w="150" w:type="dxa"/>
            </w:tcMar>
            <w:vAlign w:val="center"/>
            <w:hideMark/>
          </w:tcPr>
          <w:p w14:paraId="09247D73"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dentro d</w:t>
            </w:r>
            <w:r>
              <w:rPr>
                <w:rFonts w:ascii="Calibri" w:eastAsia="Times New Roman" w:hAnsi="Calibri" w:cs="Calibri"/>
                <w:color w:val="333333"/>
                <w:sz w:val="22"/>
                <w:szCs w:val="22"/>
              </w:rPr>
              <w:t>el rango recomendado"</w:t>
            </w:r>
          </w:p>
        </w:tc>
      </w:tr>
      <w:tr w:rsidR="00000000" w14:paraId="67D1BE8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93CB1D1"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Mayor a 150 s</w:t>
            </w:r>
          </w:p>
        </w:tc>
        <w:tc>
          <w:tcPr>
            <w:tcW w:w="0" w:type="auto"/>
            <w:tcBorders>
              <w:bottom w:val="single" w:sz="6" w:space="0" w:color="E2E8F0"/>
            </w:tcBorders>
            <w:tcMar>
              <w:top w:w="150" w:type="dxa"/>
              <w:left w:w="150" w:type="dxa"/>
              <w:bottom w:w="150" w:type="dxa"/>
              <w:right w:w="150" w:type="dxa"/>
            </w:tcMar>
            <w:vAlign w:val="center"/>
            <w:hideMark/>
          </w:tcPr>
          <w:p w14:paraId="387E7EC3"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largo"</w:t>
            </w:r>
          </w:p>
        </w:tc>
      </w:tr>
    </w:tbl>
    <w:p w14:paraId="74872A04" w14:textId="77777777" w:rsidR="00000000" w:rsidRDefault="00215DF4">
      <w:pPr>
        <w:shd w:val="clear" w:color="auto" w:fill="EBF8FF"/>
        <w:divId w:val="1309938951"/>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Proporciona una validación rápida y aislada que asiste en la prevención de programaciones semafóricas caóticas. </w:t>
      </w:r>
    </w:p>
    <w:p w14:paraId="0063C7A7"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5. Función de Duración del Ciclo</w:t>
      </w:r>
    </w:p>
    <w:p w14:paraId="0EEF103D"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duracion-ciclo</w:t>
      </w:r>
      <w:r>
        <w:rPr>
          <w:rFonts w:ascii="Calibri" w:hAnsi="Calibri" w:cs="Calibri"/>
          <w:color w:val="333333"/>
          <w:lang w:val="es-ES"/>
        </w:rPr>
        <w:t xml:space="preserve"> suma los tres componentes temporales (rojo, amarillo y verde) para definir el tiempo que consume una vuelta de estados completa.</w:t>
      </w:r>
    </w:p>
    <w:p w14:paraId="044E9AFA"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Su importancia radica en evitar la rigidez del código. En lugar de p</w:t>
      </w:r>
      <w:r>
        <w:rPr>
          <w:rFonts w:ascii="Calibri" w:hAnsi="Calibri" w:cs="Calibri"/>
          <w:color w:val="333333"/>
          <w:lang w:val="es-ES"/>
        </w:rPr>
        <w:t xml:space="preserve">rocesar valores fijos de </w:t>
      </w:r>
      <w:r>
        <w:rPr>
          <w:rFonts w:ascii="Calibri" w:hAnsi="Calibri" w:cs="Calibri"/>
          <w:i/>
          <w:iCs/>
          <w:color w:val="333333"/>
          <w:lang w:val="es-ES"/>
        </w:rPr>
        <w:t>hardware</w:t>
      </w:r>
      <w:r>
        <w:rPr>
          <w:rFonts w:ascii="Calibri" w:hAnsi="Calibri" w:cs="Calibri"/>
          <w:color w:val="333333"/>
          <w:lang w:val="es-ES"/>
        </w:rPr>
        <w:t>, extrae las asignaciones desde el entorno, permitiendo calcular en tiempo real cualquier variación configurada externamente.</w:t>
      </w:r>
    </w:p>
    <w:p w14:paraId="569C2E1C" w14:textId="77777777" w:rsidR="00000000" w:rsidRDefault="00215DF4">
      <w:pPr>
        <w:jc w:val="center"/>
        <w:divId w:val="1059330105"/>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Duración Total = Tiempo Rojo + Tiempo Amarillo + Tiempo Verde </w:t>
      </w:r>
    </w:p>
    <w:p w14:paraId="40A1CA89" w14:textId="77777777" w:rsidR="00000000" w:rsidRDefault="00215DF4">
      <w:pPr>
        <w:shd w:val="clear" w:color="auto" w:fill="EBF8FF"/>
        <w:divId w:val="1578007437"/>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Sirve</w:t>
      </w:r>
      <w:r>
        <w:rPr>
          <w:rFonts w:ascii="Calibri" w:eastAsia="Times New Roman" w:hAnsi="Calibri" w:cs="Calibri"/>
          <w:i/>
          <w:iCs/>
          <w:color w:val="333333"/>
          <w:lang w:val="es-ES"/>
        </w:rPr>
        <w:t xml:space="preserve"> como un engranaje clave para la composición de otras funciones más complejas de la aplicación, como el propio temporizador de intervalos. </w:t>
      </w:r>
    </w:p>
    <w:p w14:paraId="19E3B812"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6. Función de Cálculo de Ciclos por Intervalo de Tiempo</w:t>
      </w:r>
    </w:p>
    <w:p w14:paraId="50195D42"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Permite estimar la repetición exacta de ciclos completos den</w:t>
      </w:r>
      <w:r>
        <w:rPr>
          <w:rFonts w:ascii="Calibri" w:hAnsi="Calibri" w:cs="Calibri"/>
          <w:color w:val="333333"/>
          <w:lang w:val="es-ES"/>
        </w:rPr>
        <w:t xml:space="preserve">tro de ventanas temporales extensas especificadas en minutos. Convierte las unidades de entrada a segundos y opera la división utilizando la función truncadora </w:t>
      </w:r>
      <w:r>
        <w:rPr>
          <w:rStyle w:val="CdigoHTML"/>
          <w:color w:val="333333"/>
          <w:lang w:val="es-ES"/>
        </w:rPr>
        <w:t>FLOOR</w:t>
      </w:r>
      <w:r>
        <w:rPr>
          <w:rFonts w:ascii="Calibri" w:hAnsi="Calibri" w:cs="Calibri"/>
          <w:color w:val="333333"/>
          <w:lang w:val="es-ES"/>
        </w:rPr>
        <w:t xml:space="preserve"> para descartar fracciones incompletas.</w:t>
      </w:r>
    </w:p>
    <w:p w14:paraId="781B9B31" w14:textId="77777777" w:rsidR="00000000"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Ejemplo para un bloque de 15 minutos (900 s) con un</w:t>
      </w:r>
      <w:r>
        <w:rPr>
          <w:rStyle w:val="Textoennegrita"/>
          <w:rFonts w:ascii="Calibri" w:hAnsi="Calibri" w:cs="Calibri"/>
          <w:color w:val="333333"/>
          <w:lang w:val="es-ES"/>
        </w:rPr>
        <w:t xml:space="preserve"> ciclo de 216 s:</w:t>
      </w:r>
    </w:p>
    <w:p w14:paraId="561DAE6C" w14:textId="77777777" w:rsidR="00000000" w:rsidRDefault="00215DF4">
      <w:pPr>
        <w:jc w:val="center"/>
        <w:divId w:val="11954729"/>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Ciclos = floor(900 / 216) = floor(4.16) = 4 </w:t>
      </w:r>
    </w:p>
    <w:p w14:paraId="4BB93662" w14:textId="77777777" w:rsidR="00000000" w:rsidRDefault="00215DF4">
      <w:pPr>
        <w:pStyle w:val="HTMLconformatoprevio"/>
        <w:divId w:val="1995796581"/>
        <w:rPr>
          <w:sz w:val="20"/>
          <w:szCs w:val="20"/>
          <w:lang w:val="es-ES"/>
        </w:rPr>
      </w:pPr>
      <w:r>
        <w:rPr>
          <w:sz w:val="20"/>
          <w:szCs w:val="20"/>
          <w:lang w:val="es-ES"/>
        </w:rPr>
        <w:t>(ciclos-por-tiempo 15)  ; Retorna: 4</w:t>
      </w:r>
    </w:p>
    <w:p w14:paraId="1B681C94" w14:textId="77777777" w:rsidR="00000000" w:rsidRDefault="00215DF4">
      <w:pPr>
        <w:pStyle w:val="HTMLconformatoprevio"/>
        <w:divId w:val="1995796581"/>
        <w:rPr>
          <w:lang w:val="es-ES"/>
        </w:rPr>
      </w:pPr>
      <w:r>
        <w:rPr>
          <w:sz w:val="20"/>
          <w:szCs w:val="20"/>
          <w:lang w:val="es-ES"/>
        </w:rPr>
        <w:t>(ciclos-por-tiempo 60)  ; Retorna: 16</w:t>
      </w:r>
    </w:p>
    <w:p w14:paraId="041D1E7B" w14:textId="77777777" w:rsidR="00000000" w:rsidRDefault="00215DF4">
      <w:pPr>
        <w:shd w:val="clear" w:color="auto" w:fill="EBF8FF"/>
        <w:divId w:val="1312907575"/>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Aislada de efectos laterales. </w:t>
      </w:r>
    </w:p>
    <w:p w14:paraId="6C26F773"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lastRenderedPageBreak/>
        <w:t>7. Función de Distribución Temporal</w:t>
      </w:r>
    </w:p>
    <w:p w14:paraId="2DEFDB68"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distribucion-temporal</w:t>
      </w:r>
      <w:r>
        <w:rPr>
          <w:rFonts w:ascii="Calibri" w:hAnsi="Calibri" w:cs="Calibri"/>
          <w:color w:val="333333"/>
          <w:lang w:val="es-ES"/>
        </w:rPr>
        <w:t xml:space="preserve"> calcula con exactitud matemática qué fracción porcentual del ciclo total consume cada uno de los colores del semáforo. Aplica de forma secuencial la siguiente ecuación:</w:t>
      </w:r>
    </w:p>
    <w:p w14:paraId="65C0FC85" w14:textId="77777777" w:rsidR="00000000" w:rsidRDefault="00215DF4">
      <w:pPr>
        <w:jc w:val="center"/>
        <w:divId w:val="303393217"/>
        <w:rPr>
          <w:rFonts w:ascii="Georgia" w:eastAsia="Times New Roman" w:hAnsi="Georgia" w:cs="Calibri"/>
          <w:b/>
          <w:bCs/>
          <w:i/>
          <w:iCs/>
          <w:color w:val="333333"/>
          <w:lang w:val="es-ES"/>
        </w:rPr>
      </w:pPr>
      <w:r>
        <w:rPr>
          <w:rFonts w:ascii="Georgia" w:eastAsia="Times New Roman" w:hAnsi="Georgia" w:cs="Calibri"/>
          <w:b/>
          <w:bCs/>
          <w:i/>
          <w:iCs/>
          <w:color w:val="333333"/>
          <w:lang w:val="es-ES"/>
        </w:rPr>
        <w:t>Porcentaje = (Tiem</w:t>
      </w:r>
      <w:r>
        <w:rPr>
          <w:rFonts w:ascii="Georgia" w:eastAsia="Times New Roman" w:hAnsi="Georgia" w:cs="Calibri"/>
          <w:b/>
          <w:bCs/>
          <w:i/>
          <w:iCs/>
          <w:color w:val="333333"/>
          <w:lang w:val="es-ES"/>
        </w:rPr>
        <w:t xml:space="preserve">po de Estado / Tiempo Total) * 100 </w:t>
      </w:r>
    </w:p>
    <w:p w14:paraId="37A46F0E"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Retorna una estructura de datos nativa conocida como lista asociativa (</w:t>
      </w:r>
      <w:r>
        <w:rPr>
          <w:rFonts w:ascii="Calibri" w:hAnsi="Calibri" w:cs="Calibri"/>
          <w:i/>
          <w:iCs/>
          <w:color w:val="333333"/>
          <w:lang w:val="es-ES"/>
        </w:rPr>
        <w:t>alist</w:t>
      </w:r>
      <w:r>
        <w:rPr>
          <w:rFonts w:ascii="Calibri" w:hAnsi="Calibri" w:cs="Calibri"/>
          <w:color w:val="333333"/>
          <w:lang w:val="es-ES"/>
        </w:rPr>
        <w:t>), mapeando cada color a su respectivo peso temporal:</w:t>
      </w:r>
    </w:p>
    <w:p w14:paraId="3A4545C7" w14:textId="77777777" w:rsidR="00000000" w:rsidRDefault="00215DF4">
      <w:pPr>
        <w:pStyle w:val="HTMLconformatoprevio"/>
        <w:divId w:val="1995796581"/>
        <w:rPr>
          <w:sz w:val="20"/>
          <w:szCs w:val="20"/>
          <w:lang w:val="es-ES"/>
        </w:rPr>
      </w:pPr>
      <w:r>
        <w:rPr>
          <w:sz w:val="20"/>
          <w:szCs w:val="20"/>
          <w:lang w:val="es-ES"/>
        </w:rPr>
        <w:t>(distribucion-temporal)</w:t>
      </w:r>
    </w:p>
    <w:p w14:paraId="0E92A708" w14:textId="77777777" w:rsidR="00000000" w:rsidRDefault="00215DF4">
      <w:pPr>
        <w:pStyle w:val="HTMLconformatoprevio"/>
        <w:divId w:val="1995796581"/>
        <w:rPr>
          <w:sz w:val="20"/>
          <w:szCs w:val="20"/>
          <w:lang w:val="es-ES"/>
        </w:rPr>
      </w:pPr>
      <w:r>
        <w:rPr>
          <w:sz w:val="20"/>
          <w:szCs w:val="20"/>
          <w:lang w:val="es-ES"/>
        </w:rPr>
        <w:t>;; Retorno obtenido:</w:t>
      </w:r>
    </w:p>
    <w:p w14:paraId="2B1E992D" w14:textId="77777777" w:rsidR="00000000" w:rsidRDefault="00215DF4">
      <w:pPr>
        <w:pStyle w:val="HTMLconformatoprevio"/>
        <w:divId w:val="1995796581"/>
        <w:rPr>
          <w:lang w:val="es-ES"/>
        </w:rPr>
      </w:pPr>
      <w:r>
        <w:rPr>
          <w:sz w:val="20"/>
          <w:szCs w:val="20"/>
          <w:lang w:val="es-ES"/>
        </w:rPr>
        <w:t>((ROJO . 41.67) (AMARILLO . 2.78) (VERDE . 55</w:t>
      </w:r>
      <w:r>
        <w:rPr>
          <w:sz w:val="20"/>
          <w:szCs w:val="20"/>
          <w:lang w:val="es-ES"/>
        </w:rPr>
        <w:t>.56))</w:t>
      </w:r>
    </w:p>
    <w:p w14:paraId="4FE720D3" w14:textId="77777777" w:rsidR="00000000" w:rsidRDefault="00215DF4">
      <w:pPr>
        <w:shd w:val="clear" w:color="auto" w:fill="EBF8FF"/>
        <w:divId w:val="1027953100"/>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Estrictamente matemática y predecible. </w:t>
      </w:r>
    </w:p>
    <w:p w14:paraId="70E31172"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8. Función de Lectura de Configuración</w:t>
      </w:r>
    </w:p>
    <w:p w14:paraId="5221379A"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carga dinámica de parámetros se realiza en </w:t>
      </w:r>
      <w:r>
        <w:rPr>
          <w:rStyle w:val="CdigoHTML"/>
          <w:color w:val="333333"/>
          <w:lang w:val="es-ES"/>
        </w:rPr>
        <w:t>leer-configuracion</w:t>
      </w:r>
      <w:r>
        <w:rPr>
          <w:rFonts w:ascii="Calibri" w:hAnsi="Calibri" w:cs="Calibri"/>
          <w:color w:val="333333"/>
          <w:lang w:val="es-ES"/>
        </w:rPr>
        <w:t xml:space="preserve">. Utiliza la macro de control de flujos </w:t>
      </w:r>
      <w:r>
        <w:rPr>
          <w:rStyle w:val="CdigoHTML"/>
          <w:color w:val="333333"/>
          <w:lang w:val="es-ES"/>
        </w:rPr>
        <w:t>WITH-OPEN-FILE</w:t>
      </w:r>
      <w:r>
        <w:rPr>
          <w:rFonts w:ascii="Calibri" w:hAnsi="Calibri" w:cs="Calibri"/>
          <w:color w:val="333333"/>
          <w:lang w:val="es-ES"/>
        </w:rPr>
        <w:t xml:space="preserve"> para garantizar un cana</w:t>
      </w:r>
      <w:r>
        <w:rPr>
          <w:rFonts w:ascii="Calibri" w:hAnsi="Calibri" w:cs="Calibri"/>
          <w:color w:val="333333"/>
          <w:lang w:val="es-ES"/>
        </w:rPr>
        <w:t xml:space="preserve">l de comunicación limpio y seguro con el sistema operativo, encargándose de cerrar el recurso del archivo </w:t>
      </w:r>
      <w:r>
        <w:rPr>
          <w:rStyle w:val="CdigoHTML"/>
          <w:color w:val="333333"/>
          <w:lang w:val="es-ES"/>
        </w:rPr>
        <w:t>config.json</w:t>
      </w:r>
      <w:r>
        <w:rPr>
          <w:rFonts w:ascii="Calibri" w:hAnsi="Calibri" w:cs="Calibri"/>
          <w:color w:val="333333"/>
          <w:lang w:val="es-ES"/>
        </w:rPr>
        <w:t xml:space="preserve"> de manera automática, ocurra o no una excepción durante la lectura.</w:t>
      </w:r>
    </w:p>
    <w:p w14:paraId="5F5EEC14"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La traducción del formato JSON a elementos nativos de Common Lisp es g</w:t>
      </w:r>
      <w:r>
        <w:rPr>
          <w:rFonts w:ascii="Calibri" w:hAnsi="Calibri" w:cs="Calibri"/>
          <w:color w:val="333333"/>
          <w:lang w:val="es-ES"/>
        </w:rPr>
        <w:t xml:space="preserve">estionada por la biblioteca externa </w:t>
      </w:r>
      <w:r>
        <w:rPr>
          <w:rStyle w:val="Textoennegrita"/>
          <w:rFonts w:ascii="Calibri" w:hAnsi="Calibri" w:cs="Calibri"/>
          <w:color w:val="333333"/>
          <w:lang w:val="es-ES"/>
        </w:rPr>
        <w:t>CL-JSON</w:t>
      </w:r>
      <w:r>
        <w:rPr>
          <w:rFonts w:ascii="Calibri" w:hAnsi="Calibri" w:cs="Calibri"/>
          <w:color w:val="333333"/>
          <w:lang w:val="es-ES"/>
        </w:rPr>
        <w:t xml:space="preserve"> mediante su analizador de flujo </w:t>
      </w:r>
      <w:r>
        <w:rPr>
          <w:rStyle w:val="CdigoHTML"/>
          <w:color w:val="333333"/>
          <w:lang w:val="es-ES"/>
        </w:rPr>
        <w:t>decode-json</w:t>
      </w:r>
      <w:r>
        <w:rPr>
          <w:rFonts w:ascii="Calibri" w:hAnsi="Calibri" w:cs="Calibri"/>
          <w:color w:val="333333"/>
          <w:lang w:val="es-ES"/>
        </w:rPr>
        <w:t>.</w:t>
      </w:r>
    </w:p>
    <w:p w14:paraId="5793B300" w14:textId="77777777" w:rsidR="00000000" w:rsidRDefault="00215DF4">
      <w:pPr>
        <w:shd w:val="clear" w:color="auto" w:fill="EBF8FF"/>
        <w:divId w:val="451289167"/>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Impura. Depende directamente del estado del sistema de archivos físico donde reside la configuración externa del software. </w:t>
      </w:r>
    </w:p>
    <w:p w14:paraId="5846EAE1"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9. Función de Obtenc</w:t>
      </w:r>
      <w:r>
        <w:rPr>
          <w:rFonts w:ascii="Calibri" w:eastAsia="Times New Roman" w:hAnsi="Calibri" w:cs="Calibri"/>
          <w:lang w:val="es-ES"/>
        </w:rPr>
        <w:t>ión de Tiempos</w:t>
      </w:r>
    </w:p>
    <w:p w14:paraId="33AD9873"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Representa el puente de datos intermedio. Invoca internamente a la carga de configuración y utiliza las funciones de acceso a listas de Lisp </w:t>
      </w:r>
      <w:r>
        <w:rPr>
          <w:rStyle w:val="CdigoHTML"/>
          <w:color w:val="333333"/>
          <w:lang w:val="es-ES"/>
        </w:rPr>
        <w:t>ASSOC</w:t>
      </w:r>
      <w:r>
        <w:rPr>
          <w:rFonts w:ascii="Calibri" w:hAnsi="Calibri" w:cs="Calibri"/>
          <w:color w:val="333333"/>
          <w:lang w:val="es-ES"/>
        </w:rPr>
        <w:t xml:space="preserve"> y </w:t>
      </w:r>
      <w:r>
        <w:rPr>
          <w:rStyle w:val="CdigoHTML"/>
          <w:color w:val="333333"/>
          <w:lang w:val="es-ES"/>
        </w:rPr>
        <w:t>CDR</w:t>
      </w:r>
      <w:r>
        <w:rPr>
          <w:rFonts w:ascii="Calibri" w:hAnsi="Calibri" w:cs="Calibri"/>
          <w:color w:val="333333"/>
          <w:lang w:val="es-ES"/>
        </w:rPr>
        <w:t xml:space="preserve"> para recuperar de forma aislada el entero asignado a un color clave específico.</w:t>
      </w:r>
    </w:p>
    <w:p w14:paraId="25BE3E09" w14:textId="77777777" w:rsidR="00000000" w:rsidRDefault="00215DF4">
      <w:pPr>
        <w:pStyle w:val="HTMLconformatoprevio"/>
        <w:divId w:val="1995796581"/>
        <w:rPr>
          <w:lang w:val="es-ES"/>
        </w:rPr>
      </w:pPr>
      <w:r>
        <w:rPr>
          <w:sz w:val="20"/>
          <w:szCs w:val="20"/>
          <w:lang w:val="es-ES"/>
        </w:rPr>
        <w:t>(obtener</w:t>
      </w:r>
      <w:r>
        <w:rPr>
          <w:sz w:val="20"/>
          <w:szCs w:val="20"/>
          <w:lang w:val="es-ES"/>
        </w:rPr>
        <w:t>-tiempo :rojo) ;; Retorna: 90</w:t>
      </w:r>
    </w:p>
    <w:p w14:paraId="0E5E92F9" w14:textId="77777777" w:rsidR="00000000" w:rsidRDefault="00215DF4">
      <w:pPr>
        <w:shd w:val="clear" w:color="auto" w:fill="EBF8FF"/>
        <w:divId w:val="235628091"/>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w:t>
      </w:r>
      <w:r>
        <w:rPr>
          <w:rFonts w:ascii="Calibri" w:eastAsia="Times New Roman" w:hAnsi="Calibri" w:cs="Calibri"/>
          <w:i/>
          <w:iCs/>
          <w:color w:val="333333"/>
          <w:lang w:val="es-ES"/>
        </w:rPr>
        <w:t xml:space="preserve">Pura en su lógica de búsqueda, pero de naturaleza dependiente de un canal impuro (Lectura de archivos). Funciona como una capa de abstracción necesaria para ocultar los pormenores físicos del almacenamiento al resto del sistema funcional. </w:t>
      </w:r>
    </w:p>
    <w:p w14:paraId="5D391AAB"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Casos de Prueba y Validación</w:t>
      </w:r>
    </w:p>
    <w:p w14:paraId="72C10582"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lastRenderedPageBreak/>
        <w:t>Atendiendo al Requerimiento N° 7 del plan de estudios de la cátedra, se construyó una suite de validación integrada. Las rutinas de prueba ejecutaron automáticamente cada una de las nueve piezas lógicas descriptas anteriormente</w:t>
      </w:r>
      <w:r>
        <w:rPr>
          <w:rFonts w:ascii="Calibri" w:hAnsi="Calibri" w:cs="Calibri"/>
          <w:color w:val="333333"/>
          <w:lang w:val="es-ES"/>
        </w:rPr>
        <w:t>, cruzando sus salidas con los valores teóricos precalculados.</w:t>
      </w:r>
    </w:p>
    <w:p w14:paraId="71FD41F0"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Los tests confirmaron un cumplimiento del 100% de la funcionalidad teórica propuesta, garantizando una base libre de inconsistencias para las siguientes fases.</w:t>
      </w:r>
    </w:p>
    <w:p w14:paraId="1BD77BD1" w14:textId="77777777" w:rsidR="00000000" w:rsidRDefault="00215DF4">
      <w:pPr>
        <w:pStyle w:val="Ttulo2"/>
        <w:divId w:val="1995796581"/>
        <w:rPr>
          <w:rFonts w:ascii="Calibri" w:eastAsia="Times New Roman" w:hAnsi="Calibri" w:cs="Calibri"/>
          <w:lang w:val="es-ES"/>
        </w:rPr>
      </w:pPr>
      <w:r>
        <w:rPr>
          <w:rFonts w:ascii="Calibri" w:eastAsia="Times New Roman" w:hAnsi="Calibri" w:cs="Calibri"/>
          <w:lang w:val="es-ES"/>
        </w:rPr>
        <w:t xml:space="preserve">Fase 2: Integración de Librerías </w:t>
      </w:r>
      <w:r>
        <w:rPr>
          <w:rFonts w:ascii="Calibri" w:eastAsia="Times New Roman" w:hAnsi="Calibri" w:cs="Calibri"/>
          <w:lang w:val="es-ES"/>
        </w:rPr>
        <w:t>Externas</w:t>
      </w:r>
    </w:p>
    <w:p w14:paraId="34B5BC7F"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inyección de bibliotecas externas se realizó utilizando el instalador y cargador dinámico de paquetes </w:t>
      </w:r>
      <w:r>
        <w:rPr>
          <w:rStyle w:val="Textoennegrita"/>
          <w:rFonts w:ascii="Calibri" w:hAnsi="Calibri" w:cs="Calibri"/>
          <w:color w:val="333333"/>
          <w:lang w:val="es-ES"/>
        </w:rPr>
        <w:t>Quicklisp</w:t>
      </w:r>
      <w:r>
        <w:rPr>
          <w:rFonts w:ascii="Calibri" w:hAnsi="Calibri" w:cs="Calibri"/>
          <w:color w:val="333333"/>
          <w:lang w:val="es-ES"/>
        </w:rPr>
        <w:t xml:space="preserve">. La pieza clave instalada fue la suite </w:t>
      </w:r>
      <w:r>
        <w:rPr>
          <w:rStyle w:val="Textoennegrita"/>
          <w:rFonts w:ascii="Calibri" w:hAnsi="Calibri" w:cs="Calibri"/>
          <w:color w:val="333333"/>
          <w:lang w:val="es-ES"/>
        </w:rPr>
        <w:t>CL-JSON</w:t>
      </w:r>
      <w:r>
        <w:rPr>
          <w:rFonts w:ascii="Calibri" w:hAnsi="Calibri" w:cs="Calibri"/>
          <w:color w:val="333333"/>
          <w:lang w:val="es-ES"/>
        </w:rPr>
        <w:t>. Esto permitió desvincular el comportamiento y duración física del semáforo de las in</w:t>
      </w:r>
      <w:r>
        <w:rPr>
          <w:rFonts w:ascii="Calibri" w:hAnsi="Calibri" w:cs="Calibri"/>
          <w:color w:val="333333"/>
          <w:lang w:val="es-ES"/>
        </w:rPr>
        <w:t>strucciones compiladas del programa.</w:t>
      </w:r>
    </w:p>
    <w:p w14:paraId="3B0D1720"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Almacenando la configuración en el archivo </w:t>
      </w:r>
      <w:r>
        <w:rPr>
          <w:rStyle w:val="CdigoHTML"/>
          <w:color w:val="333333"/>
          <w:lang w:val="es-ES"/>
        </w:rPr>
        <w:t>config.json</w:t>
      </w:r>
      <w:r>
        <w:rPr>
          <w:rFonts w:ascii="Calibri" w:hAnsi="Calibri" w:cs="Calibri"/>
          <w:color w:val="333333"/>
          <w:lang w:val="es-ES"/>
        </w:rPr>
        <w:t>:</w:t>
      </w:r>
    </w:p>
    <w:p w14:paraId="003CE8F1" w14:textId="77777777" w:rsidR="00000000" w:rsidRDefault="00215DF4">
      <w:pPr>
        <w:pStyle w:val="HTMLconformatoprevio"/>
        <w:divId w:val="1995796581"/>
        <w:rPr>
          <w:sz w:val="20"/>
          <w:szCs w:val="20"/>
          <w:lang w:val="es-ES"/>
        </w:rPr>
      </w:pPr>
      <w:r>
        <w:rPr>
          <w:sz w:val="20"/>
          <w:szCs w:val="20"/>
          <w:lang w:val="es-ES"/>
        </w:rPr>
        <w:t xml:space="preserve">{ </w:t>
      </w:r>
    </w:p>
    <w:p w14:paraId="3BC10F83" w14:textId="77777777" w:rsidR="00000000" w:rsidRDefault="00215DF4">
      <w:pPr>
        <w:pStyle w:val="HTMLconformatoprevio"/>
        <w:divId w:val="1995796581"/>
        <w:rPr>
          <w:sz w:val="20"/>
          <w:szCs w:val="20"/>
          <w:lang w:val="es-ES"/>
        </w:rPr>
      </w:pPr>
      <w:r>
        <w:rPr>
          <w:sz w:val="20"/>
          <w:szCs w:val="20"/>
          <w:lang w:val="es-ES"/>
        </w:rPr>
        <w:t xml:space="preserve">  "rojo": 90, </w:t>
      </w:r>
    </w:p>
    <w:p w14:paraId="787CE3A3" w14:textId="77777777" w:rsidR="00000000" w:rsidRDefault="00215DF4">
      <w:pPr>
        <w:pStyle w:val="HTMLconformatoprevio"/>
        <w:divId w:val="1995796581"/>
        <w:rPr>
          <w:sz w:val="20"/>
          <w:szCs w:val="20"/>
          <w:lang w:val="es-ES"/>
        </w:rPr>
      </w:pPr>
      <w:r>
        <w:rPr>
          <w:sz w:val="20"/>
          <w:szCs w:val="20"/>
          <w:lang w:val="es-ES"/>
        </w:rPr>
        <w:t xml:space="preserve">  "amarillo": 6, </w:t>
      </w:r>
    </w:p>
    <w:p w14:paraId="6A35E4A4" w14:textId="77777777" w:rsidR="00000000" w:rsidRDefault="00215DF4">
      <w:pPr>
        <w:pStyle w:val="HTMLconformatoprevio"/>
        <w:divId w:val="1995796581"/>
        <w:rPr>
          <w:sz w:val="20"/>
          <w:szCs w:val="20"/>
          <w:lang w:val="es-ES"/>
        </w:rPr>
      </w:pPr>
      <w:r>
        <w:rPr>
          <w:sz w:val="20"/>
          <w:szCs w:val="20"/>
          <w:lang w:val="es-ES"/>
        </w:rPr>
        <w:t xml:space="preserve">  "verde": 120 </w:t>
      </w:r>
    </w:p>
    <w:p w14:paraId="30914E4E" w14:textId="77777777" w:rsidR="00000000" w:rsidRDefault="00215DF4">
      <w:pPr>
        <w:pStyle w:val="HTMLconformatoprevio"/>
        <w:divId w:val="1995796581"/>
        <w:rPr>
          <w:lang w:val="es-ES"/>
        </w:rPr>
      </w:pPr>
      <w:r>
        <w:rPr>
          <w:sz w:val="20"/>
          <w:szCs w:val="20"/>
          <w:lang w:val="es-ES"/>
        </w:rPr>
        <w:t>}</w:t>
      </w:r>
    </w:p>
    <w:p w14:paraId="5175E14C"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El sistema adquiere adaptabilidad industrial, posibilitando ajustes dinámicos de los semáforos inteligentes d</w:t>
      </w:r>
      <w:r>
        <w:rPr>
          <w:rFonts w:ascii="Calibri" w:hAnsi="Calibri" w:cs="Calibri"/>
          <w:color w:val="333333"/>
          <w:lang w:val="es-ES"/>
        </w:rPr>
        <w:t>irectamente desde el sistema de archivos sin necesidad de detener, editar ni volver a compilar el programa fuente.</w:t>
      </w:r>
    </w:p>
    <w:p w14:paraId="32510E15" w14:textId="77777777" w:rsidR="00000000" w:rsidRDefault="00215DF4">
      <w:pPr>
        <w:pStyle w:val="Ttulo2"/>
        <w:divId w:val="1995796581"/>
        <w:rPr>
          <w:rFonts w:ascii="Calibri" w:eastAsia="Times New Roman" w:hAnsi="Calibri" w:cs="Calibri"/>
          <w:lang w:val="es-ES"/>
        </w:rPr>
      </w:pPr>
      <w:r>
        <w:rPr>
          <w:rFonts w:ascii="Calibri" w:eastAsia="Times New Roman" w:hAnsi="Calibri" w:cs="Calibri"/>
          <w:lang w:val="es-ES"/>
        </w:rPr>
        <w:t>Fase 3: Estudio Comparativo - OCaml</w:t>
      </w:r>
    </w:p>
    <w:p w14:paraId="6A95FD90"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Presentación del Lenguaje y Áreas de Aplicación</w:t>
      </w:r>
    </w:p>
    <w:p w14:paraId="172D7786" w14:textId="77777777" w:rsidR="00000000"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OCaml</w:t>
      </w:r>
      <w:r>
        <w:rPr>
          <w:rFonts w:ascii="Calibri" w:hAnsi="Calibri" w:cs="Calibri"/>
          <w:color w:val="333333"/>
          <w:lang w:val="es-ES"/>
        </w:rPr>
        <w:t xml:space="preserve"> es un exponente sobresaliente de la familia de leng</w:t>
      </w:r>
      <w:r>
        <w:rPr>
          <w:rFonts w:ascii="Calibri" w:hAnsi="Calibri" w:cs="Calibri"/>
          <w:color w:val="333333"/>
          <w:lang w:val="es-ES"/>
        </w:rPr>
        <w:t xml:space="preserve">uajes ML. Se trata de un entorno multiparadigma enfocado fuertemente en el paradigma funcional, pero permitiendo además expresiones imperativas y programación orientada a objetos. Su atributo más valioso es el </w:t>
      </w:r>
      <w:r>
        <w:rPr>
          <w:rStyle w:val="Textoennegrita"/>
          <w:rFonts w:ascii="Calibri" w:hAnsi="Calibri" w:cs="Calibri"/>
          <w:color w:val="333333"/>
          <w:lang w:val="es-ES"/>
        </w:rPr>
        <w:t>sistema de tipos estático y fuerte con inferen</w:t>
      </w:r>
      <w:r>
        <w:rPr>
          <w:rStyle w:val="Textoennegrita"/>
          <w:rFonts w:ascii="Calibri" w:hAnsi="Calibri" w:cs="Calibri"/>
          <w:color w:val="333333"/>
          <w:lang w:val="es-ES"/>
        </w:rPr>
        <w:t>cia automática</w:t>
      </w:r>
      <w:r>
        <w:rPr>
          <w:rFonts w:ascii="Calibri" w:hAnsi="Calibri" w:cs="Calibri"/>
          <w:color w:val="333333"/>
          <w:lang w:val="es-ES"/>
        </w:rPr>
        <w:t>.</w:t>
      </w:r>
    </w:p>
    <w:p w14:paraId="464F0CF9"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Este motor de tipado previene errores semánticos sutiles en la fase de compilación, eliminando problemas de desbordamiento, punteros o tipos incorrectos antes de que el código sea ejecutado.</w:t>
      </w:r>
    </w:p>
    <w:p w14:paraId="61B17642" w14:textId="77777777" w:rsidR="00000000" w:rsidRDefault="00215DF4">
      <w:pPr>
        <w:numPr>
          <w:ilvl w:val="0"/>
          <w:numId w:val="3"/>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Sectores principales:</w:t>
      </w:r>
      <w:r>
        <w:rPr>
          <w:rFonts w:ascii="Calibri" w:eastAsia="Times New Roman" w:hAnsi="Calibri" w:cs="Calibri"/>
          <w:color w:val="333333"/>
          <w:sz w:val="22"/>
          <w:szCs w:val="22"/>
          <w:lang w:val="es-ES"/>
        </w:rPr>
        <w:t xml:space="preserve"> Fintech de alta velocidad (</w:t>
      </w:r>
      <w:r>
        <w:rPr>
          <w:rFonts w:ascii="Calibri" w:eastAsia="Times New Roman" w:hAnsi="Calibri" w:cs="Calibri"/>
          <w:color w:val="333333"/>
          <w:sz w:val="22"/>
          <w:szCs w:val="22"/>
          <w:lang w:val="es-ES"/>
        </w:rPr>
        <w:t>Jane Street), analítica estática de código corporativo, diseño de compiladores complejos y desarrollo de infraestructura crítica de software.</w:t>
      </w:r>
    </w:p>
    <w:p w14:paraId="7012BEF4" w14:textId="77777777" w:rsidR="00000000" w:rsidRDefault="00215DF4">
      <w:pPr>
        <w:numPr>
          <w:ilvl w:val="0"/>
          <w:numId w:val="3"/>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lastRenderedPageBreak/>
        <w:t>Empresas de referencia:</w:t>
      </w:r>
      <w:r>
        <w:rPr>
          <w:rFonts w:ascii="Calibri" w:eastAsia="Times New Roman" w:hAnsi="Calibri" w:cs="Calibri"/>
          <w:color w:val="333333"/>
          <w:sz w:val="22"/>
          <w:szCs w:val="22"/>
          <w:lang w:val="es-ES"/>
        </w:rPr>
        <w:t xml:space="preserve"> Tarides, Jane Street, LexiFi.</w:t>
      </w:r>
    </w:p>
    <w:p w14:paraId="1A3495F2" w14:textId="77777777" w:rsidR="00000000" w:rsidRDefault="00215DF4">
      <w:pPr>
        <w:pStyle w:val="Ttulo3"/>
        <w:divId w:val="1995796581"/>
        <w:rPr>
          <w:rFonts w:ascii="Calibri" w:eastAsia="Times New Roman" w:hAnsi="Calibri" w:cs="Calibri"/>
          <w:lang w:val="es-ES"/>
        </w:rPr>
      </w:pPr>
      <w:r>
        <w:rPr>
          <w:rFonts w:ascii="Calibri" w:eastAsia="Times New Roman" w:hAnsi="Calibri" w:cs="Calibri"/>
          <w:lang w:val="es-ES"/>
        </w:rPr>
        <w:t>Reimplementación de Funciones</w:t>
      </w:r>
    </w:p>
    <w:p w14:paraId="6E692FC4"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Se realizó la migración de las</w:t>
      </w:r>
      <w:r>
        <w:rPr>
          <w:rFonts w:ascii="Calibri" w:hAnsi="Calibri" w:cs="Calibri"/>
          <w:color w:val="333333"/>
          <w:lang w:val="es-ES"/>
        </w:rPr>
        <w:t xml:space="preserve"> funciones críticas de transición y control temporal a la sintaxis estricta de OCaml. Para modelar los tres estados del semáforo con absoluta certeza, se definió un tipo de dato algebraico específico:</w:t>
      </w:r>
    </w:p>
    <w:p w14:paraId="545A5DA6" w14:textId="77777777" w:rsidR="00000000" w:rsidRDefault="00215DF4">
      <w:pPr>
        <w:pStyle w:val="HTMLconformatoprevio"/>
        <w:shd w:val="clear" w:color="auto" w:fill="2D3748"/>
        <w:divId w:val="1995796581"/>
        <w:rPr>
          <w:lang w:val="es-ES"/>
        </w:rPr>
      </w:pPr>
      <w:r>
        <w:rPr>
          <w:color w:val="F7FAFC"/>
          <w:sz w:val="20"/>
          <w:szCs w:val="20"/>
          <w:lang w:val="es-ES"/>
        </w:rPr>
        <w:t>type color = | Rojo | Amarillo | Verde</w:t>
      </w:r>
    </w:p>
    <w:p w14:paraId="29C7956E" w14:textId="77777777" w:rsidR="00000000" w:rsidRDefault="00215DF4">
      <w:pPr>
        <w:pStyle w:val="Ttulo4"/>
        <w:divId w:val="1995796581"/>
        <w:rPr>
          <w:rFonts w:ascii="Calibri" w:eastAsia="Times New Roman" w:hAnsi="Calibri" w:cs="Calibri"/>
          <w:color w:val="333333"/>
          <w:lang w:val="es-ES"/>
        </w:rPr>
      </w:pPr>
      <w:r>
        <w:rPr>
          <w:rFonts w:ascii="Calibri" w:eastAsia="Times New Roman" w:hAnsi="Calibri" w:cs="Calibri"/>
          <w:color w:val="333333"/>
          <w:lang w:val="es-ES"/>
        </w:rPr>
        <w:t>Análisis de la I</w:t>
      </w:r>
      <w:r>
        <w:rPr>
          <w:rFonts w:ascii="Calibri" w:eastAsia="Times New Roman" w:hAnsi="Calibri" w:cs="Calibri"/>
          <w:color w:val="333333"/>
          <w:lang w:val="es-ES"/>
        </w:rPr>
        <w:t>nferencia de Tipos (Pregunta 1)</w:t>
      </w:r>
    </w:p>
    <w:p w14:paraId="68BC548E"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Al escribir la declaración funcional para los cambios de señales viales:</w:t>
      </w:r>
    </w:p>
    <w:p w14:paraId="1C04C340" w14:textId="77777777" w:rsidR="00000000" w:rsidRDefault="00215DF4">
      <w:pPr>
        <w:pStyle w:val="HTMLconformatoprevio"/>
        <w:shd w:val="clear" w:color="auto" w:fill="2D3748"/>
        <w:divId w:val="1995796581"/>
        <w:rPr>
          <w:lang w:val="es-ES"/>
        </w:rPr>
      </w:pPr>
      <w:r>
        <w:rPr>
          <w:color w:val="F7FAFC"/>
          <w:sz w:val="20"/>
          <w:szCs w:val="20"/>
          <w:lang w:val="es-ES"/>
        </w:rPr>
        <w:t>let transicion color_actual cambiar_a = ...</w:t>
      </w:r>
    </w:p>
    <w:p w14:paraId="7DC324CB"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El motor de inferencia de OCaml analizó de inmediato la estructura y retornó el siguiente tipo de firma en su bucle REPL:</w:t>
      </w:r>
    </w:p>
    <w:p w14:paraId="426788F1" w14:textId="77777777" w:rsidR="00000000" w:rsidRDefault="00215DF4">
      <w:pPr>
        <w:pStyle w:val="HTMLconformatoprevio"/>
        <w:shd w:val="clear" w:color="auto" w:fill="2D3748"/>
        <w:divId w:val="1995796581"/>
        <w:rPr>
          <w:lang w:val="es-ES"/>
        </w:rPr>
      </w:pPr>
      <w:r>
        <w:rPr>
          <w:color w:val="F7FAFC"/>
          <w:sz w:val="20"/>
          <w:szCs w:val="20"/>
          <w:lang w:val="es-ES"/>
        </w:rPr>
        <w:t>val transicion : color -&gt; color -&gt; color * string = &lt;fun&gt;</w:t>
      </w:r>
    </w:p>
    <w:p w14:paraId="18FD4F82"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Este comportamiento evidencia la potencia teórica estudiada: el compilador d</w:t>
      </w:r>
      <w:r>
        <w:rPr>
          <w:rFonts w:ascii="Calibri" w:hAnsi="Calibri" w:cs="Calibri"/>
          <w:color w:val="333333"/>
          <w:lang w:val="es-ES"/>
        </w:rPr>
        <w:t xml:space="preserve">etermina y asigna de manera matemática los tipos correctos de forma implícita, abstrayendo al desarrollador del tipado manual. Además, restringe en tiempo de compilación el ingreso de cualquier valor ajeno al tipo algebraico </w:t>
      </w:r>
      <w:r>
        <w:rPr>
          <w:rStyle w:val="CdigoHTML"/>
          <w:color w:val="333333"/>
          <w:lang w:val="es-ES"/>
        </w:rPr>
        <w:t>color</w:t>
      </w:r>
      <w:r>
        <w:rPr>
          <w:rFonts w:ascii="Calibri" w:hAnsi="Calibri" w:cs="Calibri"/>
          <w:color w:val="333333"/>
          <w:lang w:val="es-ES"/>
        </w:rPr>
        <w:t>, brindando una solidez inaccesible en lenguajes puramente dinámicos.</w:t>
      </w:r>
    </w:p>
    <w:p w14:paraId="48DFEC6B" w14:textId="77777777" w:rsidR="00000000" w:rsidRDefault="00215DF4">
      <w:pPr>
        <w:pStyle w:val="Ttulo4"/>
        <w:divId w:val="1995796581"/>
        <w:rPr>
          <w:rFonts w:ascii="Calibri" w:eastAsia="Times New Roman" w:hAnsi="Calibri" w:cs="Calibri"/>
          <w:color w:val="333333"/>
          <w:lang w:val="es-ES"/>
        </w:rPr>
      </w:pPr>
      <w:r>
        <w:rPr>
          <w:rFonts w:ascii="Calibri" w:eastAsia="Times New Roman" w:hAnsi="Calibri" w:cs="Calibri"/>
          <w:color w:val="333333"/>
          <w:lang w:val="es-ES"/>
        </w:rPr>
        <w:t>Análisis del Diseño Orientado a Expresiones (Pregunta 2)</w:t>
      </w:r>
    </w:p>
    <w:p w14:paraId="517D9591"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En el ecosistema de OCaml, prácticamente cualquier bloque de construcción estructural (como </w:t>
      </w:r>
      <w:r>
        <w:rPr>
          <w:rStyle w:val="CdigoHTML"/>
          <w:color w:val="333333"/>
          <w:lang w:val="es-ES"/>
        </w:rPr>
        <w:t>if-then-else</w:t>
      </w:r>
      <w:r>
        <w:rPr>
          <w:rFonts w:ascii="Calibri" w:hAnsi="Calibri" w:cs="Calibri"/>
          <w:color w:val="333333"/>
          <w:lang w:val="es-ES"/>
        </w:rPr>
        <w:t xml:space="preserve"> o la evaluación de patro</w:t>
      </w:r>
      <w:r>
        <w:rPr>
          <w:rFonts w:ascii="Calibri" w:hAnsi="Calibri" w:cs="Calibri"/>
          <w:color w:val="333333"/>
          <w:lang w:val="es-ES"/>
        </w:rPr>
        <w:t xml:space="preserve">nes </w:t>
      </w:r>
      <w:r>
        <w:rPr>
          <w:rStyle w:val="CdigoHTML"/>
          <w:color w:val="333333"/>
          <w:lang w:val="es-ES"/>
        </w:rPr>
        <w:t>match</w:t>
      </w:r>
      <w:r>
        <w:rPr>
          <w:rFonts w:ascii="Calibri" w:hAnsi="Calibri" w:cs="Calibri"/>
          <w:color w:val="333333"/>
          <w:lang w:val="es-ES"/>
        </w:rPr>
        <w:t xml:space="preserve">) es, en esencia, una </w:t>
      </w:r>
      <w:r>
        <w:rPr>
          <w:rStyle w:val="Textoennegrita"/>
          <w:rFonts w:ascii="Calibri" w:hAnsi="Calibri" w:cs="Calibri"/>
          <w:color w:val="333333"/>
          <w:lang w:val="es-ES"/>
        </w:rPr>
        <w:t>expresión</w:t>
      </w:r>
      <w:r>
        <w:rPr>
          <w:rFonts w:ascii="Calibri" w:hAnsi="Calibri" w:cs="Calibri"/>
          <w:color w:val="333333"/>
          <w:lang w:val="es-ES"/>
        </w:rPr>
        <w:t xml:space="preserve"> que calcula y devuelve un valor usable por el programa.</w:t>
      </w:r>
    </w:p>
    <w:p w14:paraId="59DFCD91"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El uso del bloque </w:t>
      </w:r>
      <w:r>
        <w:rPr>
          <w:rStyle w:val="CdigoHTML"/>
          <w:color w:val="333333"/>
          <w:lang w:val="es-ES"/>
        </w:rPr>
        <w:t>match ... with</w:t>
      </w:r>
      <w:r>
        <w:rPr>
          <w:rFonts w:ascii="Calibri" w:hAnsi="Calibri" w:cs="Calibri"/>
          <w:color w:val="333333"/>
          <w:lang w:val="es-ES"/>
        </w:rPr>
        <w:t xml:space="preserve"> (coincidencia de patrones) simplifica drásticamente el modelado de secuencias, permitiendo definir las reglas de transición co</w:t>
      </w:r>
      <w:r>
        <w:rPr>
          <w:rFonts w:ascii="Calibri" w:hAnsi="Calibri" w:cs="Calibri"/>
          <w:color w:val="333333"/>
          <w:lang w:val="es-ES"/>
        </w:rPr>
        <w:t xml:space="preserve">n claridad. Si se olvida contemplar alguna combinación de colores, el propio compilador emitirá un aviso crítico alertando sobre la falta de exhaustividad. En contraste con el amplio y dinámico dinamismo de la condicional </w:t>
      </w:r>
      <w:r>
        <w:rPr>
          <w:rStyle w:val="CdigoHTML"/>
          <w:color w:val="333333"/>
          <w:lang w:val="es-ES"/>
        </w:rPr>
        <w:t>cond</w:t>
      </w:r>
      <w:r>
        <w:rPr>
          <w:rFonts w:ascii="Calibri" w:hAnsi="Calibri" w:cs="Calibri"/>
          <w:color w:val="333333"/>
          <w:lang w:val="es-ES"/>
        </w:rPr>
        <w:t xml:space="preserve"> en Common Lisp, la arquitectu</w:t>
      </w:r>
      <w:r>
        <w:rPr>
          <w:rFonts w:ascii="Calibri" w:hAnsi="Calibri" w:cs="Calibri"/>
          <w:color w:val="333333"/>
          <w:lang w:val="es-ES"/>
        </w:rPr>
        <w:t>ra de OCaml ofrece un marco de trabajo considerablemente más estructurado, seguro y blindado contra fallos de lógica.</w:t>
      </w:r>
    </w:p>
    <w:p w14:paraId="79DE111C" w14:textId="77777777" w:rsidR="00000000" w:rsidRDefault="00215DF4">
      <w:pPr>
        <w:pStyle w:val="Ttulo2"/>
        <w:divId w:val="1995796581"/>
        <w:rPr>
          <w:rFonts w:ascii="Calibri" w:eastAsia="Times New Roman" w:hAnsi="Calibri" w:cs="Calibri"/>
          <w:lang w:val="es-ES"/>
        </w:rPr>
      </w:pPr>
      <w:r>
        <w:rPr>
          <w:rFonts w:ascii="Calibri" w:eastAsia="Times New Roman" w:hAnsi="Calibri" w:cs="Calibri"/>
          <w:lang w:val="es-ES"/>
        </w:rPr>
        <w:t>Bitácora de Depuración</w:t>
      </w:r>
    </w:p>
    <w:p w14:paraId="57434C6B"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Con el objetivo de transparentar el desarrollo, se exponen las principales problemáticas detectadas y las acciones </w:t>
      </w:r>
      <w:r>
        <w:rPr>
          <w:rFonts w:ascii="Calibri" w:hAnsi="Calibri" w:cs="Calibri"/>
          <w:color w:val="333333"/>
          <w:lang w:val="es-ES"/>
        </w:rPr>
        <w:t>correctivas aplicadas:</w:t>
      </w:r>
    </w:p>
    <w:tbl>
      <w:tblPr>
        <w:tblW w:w="5000" w:type="pct"/>
        <w:tblCellMar>
          <w:top w:w="15" w:type="dxa"/>
          <w:left w:w="15" w:type="dxa"/>
          <w:bottom w:w="15" w:type="dxa"/>
          <w:right w:w="15" w:type="dxa"/>
        </w:tblCellMar>
        <w:tblLook w:val="04A0" w:firstRow="1" w:lastRow="0" w:firstColumn="1" w:lastColumn="0" w:noHBand="0" w:noVBand="1"/>
      </w:tblPr>
      <w:tblGrid>
        <w:gridCol w:w="1713"/>
        <w:gridCol w:w="3483"/>
        <w:gridCol w:w="3308"/>
      </w:tblGrid>
      <w:tr w:rsidR="00000000" w14:paraId="0F589420" w14:textId="77777777">
        <w:trPr>
          <w:divId w:val="1995796581"/>
          <w:tblHeader/>
        </w:trPr>
        <w:tc>
          <w:tcPr>
            <w:tcW w:w="0" w:type="auto"/>
            <w:shd w:val="clear" w:color="auto" w:fill="2B6CB0"/>
            <w:tcMar>
              <w:top w:w="150" w:type="dxa"/>
              <w:left w:w="150" w:type="dxa"/>
              <w:bottom w:w="150" w:type="dxa"/>
              <w:right w:w="150" w:type="dxa"/>
            </w:tcMar>
            <w:vAlign w:val="center"/>
            <w:hideMark/>
          </w:tcPr>
          <w:p w14:paraId="4BD7786A" w14:textId="77777777" w:rsidR="00000000"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lastRenderedPageBreak/>
              <w:t>Error Reportado</w:t>
            </w:r>
          </w:p>
        </w:tc>
        <w:tc>
          <w:tcPr>
            <w:tcW w:w="0" w:type="auto"/>
            <w:shd w:val="clear" w:color="auto" w:fill="2B6CB0"/>
            <w:tcMar>
              <w:top w:w="150" w:type="dxa"/>
              <w:left w:w="150" w:type="dxa"/>
              <w:bottom w:w="150" w:type="dxa"/>
              <w:right w:w="150" w:type="dxa"/>
            </w:tcMar>
            <w:vAlign w:val="center"/>
            <w:hideMark/>
          </w:tcPr>
          <w:p w14:paraId="243368A8" w14:textId="77777777" w:rsidR="00000000"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Causa Raíz Detectada</w:t>
            </w:r>
          </w:p>
        </w:tc>
        <w:tc>
          <w:tcPr>
            <w:tcW w:w="0" w:type="auto"/>
            <w:shd w:val="clear" w:color="auto" w:fill="2B6CB0"/>
            <w:tcMar>
              <w:top w:w="150" w:type="dxa"/>
              <w:left w:w="150" w:type="dxa"/>
              <w:bottom w:w="150" w:type="dxa"/>
              <w:right w:w="150" w:type="dxa"/>
            </w:tcMar>
            <w:vAlign w:val="center"/>
            <w:hideMark/>
          </w:tcPr>
          <w:p w14:paraId="6342A8F4" w14:textId="77777777" w:rsidR="00000000"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Solución Implementada</w:t>
            </w:r>
          </w:p>
        </w:tc>
      </w:tr>
      <w:tr w:rsidR="00000000" w14:paraId="7292FECB"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5437504A" w14:textId="77777777" w:rsidR="00000000"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Conflicto con TIMER en SBCL</w:t>
            </w:r>
          </w:p>
        </w:tc>
        <w:tc>
          <w:tcPr>
            <w:tcW w:w="0" w:type="auto"/>
            <w:tcBorders>
              <w:bottom w:val="single" w:sz="6" w:space="0" w:color="E2E8F0"/>
            </w:tcBorders>
            <w:tcMar>
              <w:top w:w="150" w:type="dxa"/>
              <w:left w:w="150" w:type="dxa"/>
              <w:bottom w:w="150" w:type="dxa"/>
              <w:right w:w="150" w:type="dxa"/>
            </w:tcMar>
            <w:vAlign w:val="center"/>
            <w:hideMark/>
          </w:tcPr>
          <w:p w14:paraId="690FF75B"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Colisión de nombres al usar el símbolo reservado </w:t>
            </w:r>
            <w:r>
              <w:rPr>
                <w:rStyle w:val="CdigoHTML"/>
                <w:color w:val="333333"/>
              </w:rPr>
              <w:t>TIMER</w:t>
            </w:r>
            <w:r>
              <w:rPr>
                <w:rFonts w:ascii="Calibri" w:eastAsia="Times New Roman" w:hAnsi="Calibri" w:cs="Calibri"/>
                <w:color w:val="333333"/>
                <w:sz w:val="22"/>
                <w:szCs w:val="22"/>
              </w:rPr>
              <w:t xml:space="preserve"> por la biblioteca interna de SBCL.</w:t>
            </w:r>
          </w:p>
        </w:tc>
        <w:tc>
          <w:tcPr>
            <w:tcW w:w="0" w:type="auto"/>
            <w:tcBorders>
              <w:bottom w:val="single" w:sz="6" w:space="0" w:color="E2E8F0"/>
            </w:tcBorders>
            <w:tcMar>
              <w:top w:w="150" w:type="dxa"/>
              <w:left w:w="150" w:type="dxa"/>
              <w:bottom w:w="150" w:type="dxa"/>
              <w:right w:w="150" w:type="dxa"/>
            </w:tcMar>
            <w:vAlign w:val="center"/>
            <w:hideMark/>
          </w:tcPr>
          <w:p w14:paraId="24913B0C"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renombró de forma inequívoca el elemento como </w:t>
            </w:r>
            <w:r>
              <w:rPr>
                <w:rStyle w:val="CdigoHTML"/>
                <w:color w:val="333333"/>
              </w:rPr>
              <w:t>timer-</w:t>
            </w:r>
            <w:r>
              <w:rPr>
                <w:rStyle w:val="CdigoHTML"/>
                <w:color w:val="333333"/>
              </w:rPr>
              <w:t>semaforo</w:t>
            </w:r>
            <w:r>
              <w:rPr>
                <w:rFonts w:ascii="Calibri" w:eastAsia="Times New Roman" w:hAnsi="Calibri" w:cs="Calibri"/>
                <w:color w:val="333333"/>
                <w:sz w:val="22"/>
                <w:szCs w:val="22"/>
              </w:rPr>
              <w:t>.</w:t>
            </w:r>
          </w:p>
        </w:tc>
      </w:tr>
      <w:tr w:rsidR="00000000" w14:paraId="103B00E6"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C459DDF" w14:textId="77777777" w:rsidR="00000000"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Falta de soporte CL-JSON</w:t>
            </w:r>
          </w:p>
        </w:tc>
        <w:tc>
          <w:tcPr>
            <w:tcW w:w="0" w:type="auto"/>
            <w:tcBorders>
              <w:bottom w:val="single" w:sz="6" w:space="0" w:color="E2E8F0"/>
            </w:tcBorders>
            <w:tcMar>
              <w:top w:w="150" w:type="dxa"/>
              <w:left w:w="150" w:type="dxa"/>
              <w:bottom w:w="150" w:type="dxa"/>
              <w:right w:w="150" w:type="dxa"/>
            </w:tcMar>
            <w:vAlign w:val="center"/>
            <w:hideMark/>
          </w:tcPr>
          <w:p w14:paraId="65C62BAE"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La biblioteca no estaba preinstalada en el entorno de desarrollo local de Lisp.</w:t>
            </w:r>
          </w:p>
        </w:tc>
        <w:tc>
          <w:tcPr>
            <w:tcW w:w="0" w:type="auto"/>
            <w:tcBorders>
              <w:bottom w:val="single" w:sz="6" w:space="0" w:color="E2E8F0"/>
            </w:tcBorders>
            <w:tcMar>
              <w:top w:w="150" w:type="dxa"/>
              <w:left w:w="150" w:type="dxa"/>
              <w:bottom w:w="150" w:type="dxa"/>
              <w:right w:w="150" w:type="dxa"/>
            </w:tcMar>
            <w:vAlign w:val="center"/>
            <w:hideMark/>
          </w:tcPr>
          <w:p w14:paraId="7E86B0D6"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desplegó Quicklisp y se configuró la carga inicial automática mediante </w:t>
            </w:r>
            <w:r>
              <w:rPr>
                <w:rStyle w:val="CdigoHTML"/>
                <w:color w:val="333333"/>
              </w:rPr>
              <w:t>(ql:quickload :cl-json)</w:t>
            </w:r>
            <w:r>
              <w:rPr>
                <w:rFonts w:ascii="Calibri" w:eastAsia="Times New Roman" w:hAnsi="Calibri" w:cs="Calibri"/>
                <w:color w:val="333333"/>
                <w:sz w:val="22"/>
                <w:szCs w:val="22"/>
              </w:rPr>
              <w:t>.</w:t>
            </w:r>
          </w:p>
        </w:tc>
      </w:tr>
      <w:tr w:rsidR="00000000" w14:paraId="2C09CC4E"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29E3479" w14:textId="77777777" w:rsidR="00000000"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NIL retornado en obtener-tiempo</w:t>
            </w:r>
          </w:p>
        </w:tc>
        <w:tc>
          <w:tcPr>
            <w:tcW w:w="0" w:type="auto"/>
            <w:tcBorders>
              <w:bottom w:val="single" w:sz="6" w:space="0" w:color="E2E8F0"/>
            </w:tcBorders>
            <w:tcMar>
              <w:top w:w="150" w:type="dxa"/>
              <w:left w:w="150" w:type="dxa"/>
              <w:bottom w:w="150" w:type="dxa"/>
              <w:right w:w="150" w:type="dxa"/>
            </w:tcMar>
            <w:vAlign w:val="center"/>
            <w:hideMark/>
          </w:tcPr>
          <w:p w14:paraId="4A4FD348"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La librería CL-JSON mapea y asocia las claves JSON directamente como </w:t>
            </w:r>
            <w:r>
              <w:rPr>
                <w:rFonts w:ascii="Calibri" w:eastAsia="Times New Roman" w:hAnsi="Calibri" w:cs="Calibri"/>
                <w:i/>
                <w:iCs/>
                <w:color w:val="333333"/>
                <w:sz w:val="22"/>
                <w:szCs w:val="22"/>
              </w:rPr>
              <w:t>keywords</w:t>
            </w:r>
            <w:r>
              <w:rPr>
                <w:rFonts w:ascii="Calibri" w:eastAsia="Times New Roman" w:hAnsi="Calibri" w:cs="Calibri"/>
                <w:color w:val="333333"/>
                <w:sz w:val="22"/>
                <w:szCs w:val="22"/>
              </w:rPr>
              <w:t xml:space="preserve"> de Lisp (anteponiendo dos puntos).</w:t>
            </w:r>
          </w:p>
        </w:tc>
        <w:tc>
          <w:tcPr>
            <w:tcW w:w="0" w:type="auto"/>
            <w:tcBorders>
              <w:bottom w:val="single" w:sz="6" w:space="0" w:color="E2E8F0"/>
            </w:tcBorders>
            <w:tcMar>
              <w:top w:w="150" w:type="dxa"/>
              <w:left w:w="150" w:type="dxa"/>
              <w:bottom w:w="150" w:type="dxa"/>
              <w:right w:w="150" w:type="dxa"/>
            </w:tcMar>
            <w:vAlign w:val="center"/>
            <w:hideMark/>
          </w:tcPr>
          <w:p w14:paraId="73695C60"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Se refactor</w:t>
            </w:r>
            <w:r>
              <w:rPr>
                <w:rFonts w:ascii="Calibri" w:eastAsia="Times New Roman" w:hAnsi="Calibri" w:cs="Calibri"/>
                <w:color w:val="333333"/>
                <w:sz w:val="22"/>
                <w:szCs w:val="22"/>
              </w:rPr>
              <w:t>izó la búsqueda lógica empleando claves explícitas (</w:t>
            </w:r>
            <w:r>
              <w:rPr>
                <w:rStyle w:val="CdigoHTML"/>
                <w:color w:val="333333"/>
              </w:rPr>
              <w:t>:rojo</w:t>
            </w:r>
            <w:r>
              <w:rPr>
                <w:rFonts w:ascii="Calibri" w:eastAsia="Times New Roman" w:hAnsi="Calibri" w:cs="Calibri"/>
                <w:color w:val="333333"/>
                <w:sz w:val="22"/>
                <w:szCs w:val="22"/>
              </w:rPr>
              <w:t xml:space="preserve">, </w:t>
            </w:r>
            <w:r>
              <w:rPr>
                <w:rStyle w:val="CdigoHTML"/>
                <w:color w:val="333333"/>
              </w:rPr>
              <w:t>:amarillo</w:t>
            </w:r>
            <w:r>
              <w:rPr>
                <w:rFonts w:ascii="Calibri" w:eastAsia="Times New Roman" w:hAnsi="Calibri" w:cs="Calibri"/>
                <w:color w:val="333333"/>
                <w:sz w:val="22"/>
                <w:szCs w:val="22"/>
              </w:rPr>
              <w:t xml:space="preserve">, </w:t>
            </w:r>
            <w:r>
              <w:rPr>
                <w:rStyle w:val="CdigoHTML"/>
                <w:color w:val="333333"/>
              </w:rPr>
              <w:t>:verde</w:t>
            </w:r>
            <w:r>
              <w:rPr>
                <w:rFonts w:ascii="Calibri" w:eastAsia="Times New Roman" w:hAnsi="Calibri" w:cs="Calibri"/>
                <w:color w:val="333333"/>
                <w:sz w:val="22"/>
                <w:szCs w:val="22"/>
              </w:rPr>
              <w:t>).</w:t>
            </w:r>
          </w:p>
        </w:tc>
      </w:tr>
      <w:tr w:rsidR="00000000" w14:paraId="6480E9C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EEFA8E0" w14:textId="77777777" w:rsidR="00000000"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Bloqueo interactivo en OCaml</w:t>
            </w:r>
          </w:p>
        </w:tc>
        <w:tc>
          <w:tcPr>
            <w:tcW w:w="0" w:type="auto"/>
            <w:tcBorders>
              <w:bottom w:val="single" w:sz="6" w:space="0" w:color="E2E8F0"/>
            </w:tcBorders>
            <w:tcMar>
              <w:top w:w="150" w:type="dxa"/>
              <w:left w:w="150" w:type="dxa"/>
              <w:bottom w:w="150" w:type="dxa"/>
              <w:right w:w="150" w:type="dxa"/>
            </w:tcMar>
            <w:vAlign w:val="center"/>
            <w:hideMark/>
          </w:tcPr>
          <w:p w14:paraId="1B2E595E"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Falta de familiarización con la sintaxis del intérprete interactivo y el uso restrictivo del doble punto y coma (</w:t>
            </w:r>
            <w:r>
              <w:rPr>
                <w:rStyle w:val="CdigoHTML"/>
                <w:color w:val="333333"/>
              </w:rPr>
              <w:t>;;</w:t>
            </w:r>
            <w:r>
              <w:rPr>
                <w:rFonts w:ascii="Calibri" w:eastAsia="Times New Roman" w:hAnsi="Calibri" w:cs="Calibri"/>
                <w:color w:val="333333"/>
                <w:sz w:val="22"/>
                <w:szCs w:val="22"/>
              </w:rPr>
              <w:t>).</w:t>
            </w:r>
          </w:p>
        </w:tc>
        <w:tc>
          <w:tcPr>
            <w:tcW w:w="0" w:type="auto"/>
            <w:tcBorders>
              <w:bottom w:val="single" w:sz="6" w:space="0" w:color="E2E8F0"/>
            </w:tcBorders>
            <w:tcMar>
              <w:top w:w="150" w:type="dxa"/>
              <w:left w:w="150" w:type="dxa"/>
              <w:bottom w:w="150" w:type="dxa"/>
              <w:right w:w="150" w:type="dxa"/>
            </w:tcMar>
            <w:vAlign w:val="center"/>
            <w:hideMark/>
          </w:tcPr>
          <w:p w14:paraId="5C272345" w14:textId="77777777" w:rsidR="00000000"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Estudio interactivo de la documentación oficial y ejercitación guiada en consola REPL.</w:t>
            </w:r>
          </w:p>
        </w:tc>
      </w:tr>
    </w:tbl>
    <w:p w14:paraId="40955DB8" w14:textId="77777777" w:rsidR="00000000" w:rsidRDefault="00215DF4">
      <w:pPr>
        <w:pStyle w:val="Ttulo2"/>
        <w:divId w:val="1995796581"/>
        <w:rPr>
          <w:rFonts w:ascii="Calibri" w:eastAsia="Times New Roman" w:hAnsi="Calibri" w:cs="Calibri"/>
          <w:lang w:val="es-ES"/>
        </w:rPr>
      </w:pPr>
      <w:r>
        <w:rPr>
          <w:rFonts w:ascii="Calibri" w:eastAsia="Times New Roman" w:hAnsi="Calibri" w:cs="Calibri"/>
          <w:lang w:val="es-ES"/>
        </w:rPr>
        <w:t>Conclusión</w:t>
      </w:r>
    </w:p>
    <w:p w14:paraId="3D39414C"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El desarrollo de este trabajo práctico </w:t>
      </w:r>
      <w:r>
        <w:rPr>
          <w:rFonts w:ascii="Calibri" w:hAnsi="Calibri" w:cs="Calibri"/>
          <w:color w:val="333333"/>
          <w:lang w:val="es-ES"/>
        </w:rPr>
        <w:t>permitió afianzar las bases del desarrollo de software bajo el paradigma funcional. La flexibilidad inherente y dinamismo de **Common Lisp** facilitaron un diseño rápido y flexible fundamentado en la composición de funciones puras. Por su parte, la fase co</w:t>
      </w:r>
      <w:r>
        <w:rPr>
          <w:rFonts w:ascii="Calibri" w:hAnsi="Calibri" w:cs="Calibri"/>
          <w:color w:val="333333"/>
          <w:lang w:val="es-ES"/>
        </w:rPr>
        <w:t>mparativa con **OCaml** evidenció las enormes bondades de los ecosistemas estáticos modernos, los cuales resuelven la seguridad lógica en tiempo de compilación.</w:t>
      </w:r>
    </w:p>
    <w:p w14:paraId="588AD833" w14:textId="77777777" w:rsidR="00000000" w:rsidRDefault="00215DF4">
      <w:pPr>
        <w:pStyle w:val="NormalWeb"/>
        <w:divId w:val="1995796581"/>
        <w:rPr>
          <w:rFonts w:ascii="Calibri" w:hAnsi="Calibri" w:cs="Calibri"/>
          <w:color w:val="333333"/>
          <w:lang w:val="es-ES"/>
        </w:rPr>
      </w:pPr>
      <w:r>
        <w:rPr>
          <w:rFonts w:ascii="Calibri" w:hAnsi="Calibri" w:cs="Calibri"/>
          <w:color w:val="333333"/>
          <w:lang w:val="es-ES"/>
        </w:rPr>
        <w:t>La combinación de desacoplamiento paramétrico con archivos JSON y la rigurosidad conceptual apl</w:t>
      </w:r>
      <w:r>
        <w:rPr>
          <w:rFonts w:ascii="Calibri" w:hAnsi="Calibri" w:cs="Calibri"/>
          <w:color w:val="333333"/>
          <w:lang w:val="es-ES"/>
        </w:rPr>
        <w:t>icada dotaron al sistema de una arquitectura robusta, escalable y acorde a los exigentes estándares de programación funcional requeridos por la cátedra.</w:t>
      </w:r>
    </w:p>
    <w:p w14:paraId="61950354" w14:textId="77777777" w:rsidR="00000000" w:rsidRDefault="00215DF4">
      <w:pPr>
        <w:pStyle w:val="Ttulo2"/>
        <w:divId w:val="1995796581"/>
        <w:rPr>
          <w:rFonts w:ascii="Calibri" w:eastAsia="Times New Roman" w:hAnsi="Calibri" w:cs="Calibri"/>
          <w:lang w:val="es-ES"/>
        </w:rPr>
      </w:pPr>
      <w:r>
        <w:rPr>
          <w:rFonts w:ascii="Calibri" w:eastAsia="Times New Roman" w:hAnsi="Calibri" w:cs="Calibri"/>
          <w:lang w:val="es-ES"/>
        </w:rPr>
        <w:lastRenderedPageBreak/>
        <w:t>Referencias Bibliográficas</w:t>
      </w:r>
    </w:p>
    <w:p w14:paraId="2CAD8F73" w14:textId="77777777" w:rsidR="00000000"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Common Lisp HyperSpec</w:t>
      </w:r>
      <w:r>
        <w:rPr>
          <w:rFonts w:ascii="Calibri" w:eastAsia="Times New Roman" w:hAnsi="Calibri" w:cs="Calibri"/>
          <w:color w:val="333333"/>
          <w:sz w:val="22"/>
          <w:szCs w:val="22"/>
          <w:lang w:val="es-ES"/>
        </w:rPr>
        <w:t xml:space="preserve"> (LISP-Works).</w:t>
      </w:r>
    </w:p>
    <w:p w14:paraId="1964F1C4" w14:textId="77777777" w:rsidR="00000000"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Documentación oficial de SBCL</w:t>
      </w:r>
      <w:r>
        <w:rPr>
          <w:rFonts w:ascii="Calibri" w:eastAsia="Times New Roman" w:hAnsi="Calibri" w:cs="Calibri"/>
          <w:color w:val="333333"/>
          <w:sz w:val="22"/>
          <w:szCs w:val="22"/>
          <w:lang w:val="es-ES"/>
        </w:rPr>
        <w:t xml:space="preserve"> (Steel Ban</w:t>
      </w:r>
      <w:r>
        <w:rPr>
          <w:rFonts w:ascii="Calibri" w:eastAsia="Times New Roman" w:hAnsi="Calibri" w:cs="Calibri"/>
          <w:color w:val="333333"/>
          <w:sz w:val="22"/>
          <w:szCs w:val="22"/>
          <w:lang w:val="es-ES"/>
        </w:rPr>
        <w:t>k Common Lisp).</w:t>
      </w:r>
    </w:p>
    <w:p w14:paraId="509BAE84" w14:textId="77777777" w:rsidR="00000000"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Quicklisp Documentation</w:t>
      </w:r>
      <w:r>
        <w:rPr>
          <w:rFonts w:ascii="Calibri" w:eastAsia="Times New Roman" w:hAnsi="Calibri" w:cs="Calibri"/>
          <w:color w:val="333333"/>
          <w:sz w:val="22"/>
          <w:szCs w:val="22"/>
          <w:lang w:val="es-ES"/>
        </w:rPr>
        <w:t xml:space="preserve"> (Quicklisp beta library manager).</w:t>
      </w:r>
    </w:p>
    <w:p w14:paraId="7F82CE46" w14:textId="77777777" w:rsidR="00000000"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CL-JSON Documentation</w:t>
      </w:r>
      <w:r>
        <w:rPr>
          <w:rFonts w:ascii="Calibri" w:eastAsia="Times New Roman" w:hAnsi="Calibri" w:cs="Calibri"/>
          <w:color w:val="333333"/>
          <w:sz w:val="22"/>
          <w:szCs w:val="22"/>
          <w:lang w:val="es-ES"/>
        </w:rPr>
        <w:t xml:space="preserve"> (Common Lisp JSON library representation).</w:t>
      </w:r>
    </w:p>
    <w:p w14:paraId="583048D7" w14:textId="77777777" w:rsidR="00000000"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OCaml Official Documentation</w:t>
      </w:r>
      <w:r>
        <w:rPr>
          <w:rFonts w:ascii="Calibri" w:eastAsia="Times New Roman" w:hAnsi="Calibri" w:cs="Calibri"/>
          <w:color w:val="333333"/>
          <w:sz w:val="22"/>
          <w:szCs w:val="22"/>
          <w:lang w:val="es-ES"/>
        </w:rPr>
        <w:t xml:space="preserve"> (The OCaml System User's Manual).</w:t>
      </w:r>
    </w:p>
    <w:p w14:paraId="4F675238" w14:textId="77777777" w:rsidR="00000000"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Material de cátedra de Paradigmas y Lenguajes de Progr</w:t>
      </w:r>
      <w:r>
        <w:rPr>
          <w:rFonts w:ascii="Calibri" w:eastAsia="Times New Roman" w:hAnsi="Calibri" w:cs="Calibri"/>
          <w:i/>
          <w:iCs/>
          <w:color w:val="333333"/>
          <w:sz w:val="22"/>
          <w:szCs w:val="22"/>
          <w:lang w:val="es-ES"/>
        </w:rPr>
        <w:t>amación</w:t>
      </w:r>
      <w:r>
        <w:rPr>
          <w:rFonts w:ascii="Calibri" w:eastAsia="Times New Roman" w:hAnsi="Calibri" w:cs="Calibri"/>
          <w:color w:val="333333"/>
          <w:sz w:val="22"/>
          <w:szCs w:val="22"/>
          <w:lang w:val="es-ES"/>
        </w:rPr>
        <w:t xml:space="preserve"> (Universidad Nacional del Nordeste, 2026).</w:t>
      </w:r>
    </w:p>
    <w:p w14:paraId="49CA20AF" w14:textId="77777777" w:rsidR="00215DF4"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Consigna oficial del Trabajo Práctico Integrador</w:t>
      </w:r>
      <w:r>
        <w:rPr>
          <w:rFonts w:ascii="Calibri" w:eastAsia="Times New Roman" w:hAnsi="Calibri" w:cs="Calibri"/>
          <w:color w:val="333333"/>
          <w:sz w:val="22"/>
          <w:szCs w:val="22"/>
          <w:lang w:val="es-ES"/>
        </w:rPr>
        <w:t xml:space="preserve"> (Cátedra de Paradigmas, UNNE, 2026).</w:t>
      </w:r>
    </w:p>
    <w:sectPr w:rsidR="00215D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C4A8C"/>
    <w:multiLevelType w:val="multilevel"/>
    <w:tmpl w:val="40B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54E83"/>
    <w:multiLevelType w:val="multilevel"/>
    <w:tmpl w:val="832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91191"/>
    <w:multiLevelType w:val="multilevel"/>
    <w:tmpl w:val="17C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E84A14"/>
    <w:multiLevelType w:val="multilevel"/>
    <w:tmpl w:val="627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2F77"/>
    <w:rsid w:val="00215DF4"/>
    <w:rsid w:val="00742F77"/>
    <w:rsid w:val="008E75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1EF06"/>
  <w15:chartTrackingRefBased/>
  <w15:docId w15:val="{AF65B44E-3725-45DF-9707-4EFB4E56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75"/>
      <w:jc w:val="center"/>
      <w:outlineLvl w:val="0"/>
    </w:pPr>
    <w:rPr>
      <w:b/>
      <w:bCs/>
      <w:caps/>
      <w:color w:val="1A365D"/>
      <w:kern w:val="36"/>
      <w:sz w:val="52"/>
      <w:szCs w:val="52"/>
    </w:rPr>
  </w:style>
  <w:style w:type="paragraph" w:styleId="Ttulo2">
    <w:name w:val="heading 2"/>
    <w:basedOn w:val="Normal"/>
    <w:link w:val="Ttulo2Car"/>
    <w:uiPriority w:val="9"/>
    <w:qFormat/>
    <w:pPr>
      <w:pBdr>
        <w:bottom w:val="single" w:sz="6" w:space="6" w:color="E2E8F0"/>
      </w:pBdr>
      <w:spacing w:before="600" w:after="100" w:afterAutospacing="1"/>
      <w:outlineLvl w:val="1"/>
    </w:pPr>
    <w:rPr>
      <w:b/>
      <w:bCs/>
      <w:color w:val="2B6CB0"/>
      <w:sz w:val="36"/>
      <w:szCs w:val="36"/>
    </w:rPr>
  </w:style>
  <w:style w:type="paragraph" w:styleId="Ttulo3">
    <w:name w:val="heading 3"/>
    <w:basedOn w:val="Normal"/>
    <w:link w:val="Ttulo3Car"/>
    <w:uiPriority w:val="9"/>
    <w:qFormat/>
    <w:pPr>
      <w:spacing w:before="450" w:after="100" w:afterAutospacing="1"/>
      <w:outlineLvl w:val="2"/>
    </w:pPr>
    <w:rPr>
      <w:b/>
      <w:bCs/>
      <w:color w:val="2D3748"/>
      <w:sz w:val="28"/>
      <w:szCs w:val="28"/>
    </w:rPr>
  </w:style>
  <w:style w:type="paragraph" w:styleId="Ttulo4">
    <w:name w:val="heading 4"/>
    <w:basedOn w:val="Normal"/>
    <w:link w:val="Ttulo4Car"/>
    <w:uiPriority w:val="9"/>
    <w:qFormat/>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EDF2F7"/>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pPr>
      <w:shd w:val="clear" w:color="auto" w:fill="1A20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nsolas" w:hAnsi="Consolas" w:cs="Courier New"/>
      <w:color w:val="EDF2F7"/>
      <w:sz w:val="19"/>
      <w:szCs w:val="19"/>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character" w:styleId="Textoennegrita">
    <w:name w:val="Strong"/>
    <w:basedOn w:val="Fuentedeprrafopredeter"/>
    <w:uiPriority w:val="22"/>
    <w:qFormat/>
    <w:rPr>
      <w:b/>
      <w:bCs/>
    </w:rPr>
  </w:style>
  <w:style w:type="paragraph" w:customStyle="1" w:styleId="msonormal0">
    <w:name w:val="msonormal"/>
    <w:basedOn w:val="Normal"/>
    <w:pPr>
      <w:spacing w:before="100" w:beforeAutospacing="1" w:after="100" w:afterAutospacing="1"/>
      <w:jc w:val="both"/>
    </w:pPr>
    <w:rPr>
      <w:sz w:val="22"/>
      <w:szCs w:val="22"/>
    </w:rPr>
  </w:style>
  <w:style w:type="paragraph" w:styleId="NormalWeb">
    <w:name w:val="Normal (Web)"/>
    <w:basedOn w:val="Normal"/>
    <w:uiPriority w:val="99"/>
    <w:semiHidden/>
    <w:unhideWhenUsed/>
    <w:pPr>
      <w:spacing w:before="100" w:beforeAutospacing="1" w:after="100" w:afterAutospacing="1"/>
      <w:jc w:val="both"/>
    </w:pPr>
    <w:rPr>
      <w:sz w:val="22"/>
      <w:szCs w:val="22"/>
    </w:rPr>
  </w:style>
  <w:style w:type="paragraph" w:customStyle="1" w:styleId="subtitle">
    <w:name w:val="subtitle"/>
    <w:basedOn w:val="Normal"/>
    <w:pPr>
      <w:spacing w:after="450"/>
      <w:jc w:val="center"/>
    </w:pPr>
    <w:rPr>
      <w:color w:val="4A5568"/>
      <w:sz w:val="28"/>
      <w:szCs w:val="28"/>
    </w:rPr>
  </w:style>
  <w:style w:type="paragraph" w:customStyle="1" w:styleId="academic-header">
    <w:name w:val="academic-header"/>
    <w:basedOn w:val="Normal"/>
    <w:pPr>
      <w:pBdr>
        <w:bottom w:val="single" w:sz="12" w:space="15" w:color="2B6CB0"/>
      </w:pBdr>
      <w:spacing w:before="100" w:beforeAutospacing="1" w:after="600"/>
      <w:jc w:val="center"/>
    </w:pPr>
    <w:rPr>
      <w:sz w:val="22"/>
      <w:szCs w:val="22"/>
    </w:rPr>
  </w:style>
  <w:style w:type="paragraph" w:customStyle="1" w:styleId="group-box">
    <w:name w:val="group-box"/>
    <w:basedOn w:val="Normal"/>
    <w:pPr>
      <w:pBdr>
        <w:top w:val="single" w:sz="6" w:space="15" w:color="CBD5E0"/>
        <w:left w:val="single" w:sz="6" w:space="15" w:color="CBD5E0"/>
        <w:bottom w:val="single" w:sz="6" w:space="15" w:color="CBD5E0"/>
        <w:right w:val="single" w:sz="6" w:space="15" w:color="CBD5E0"/>
      </w:pBdr>
      <w:shd w:val="clear" w:color="auto" w:fill="F7FAFC"/>
      <w:spacing w:before="100" w:beforeAutospacing="1" w:after="600"/>
      <w:jc w:val="both"/>
    </w:pPr>
    <w:rPr>
      <w:sz w:val="22"/>
      <w:szCs w:val="22"/>
    </w:rPr>
  </w:style>
  <w:style w:type="paragraph" w:customStyle="1" w:styleId="classification-badge">
    <w:name w:val="classification-badge"/>
    <w:basedOn w:val="Normal"/>
    <w:pPr>
      <w:pBdr>
        <w:left w:val="single" w:sz="24" w:space="11" w:color="3182CE"/>
      </w:pBdr>
      <w:shd w:val="clear" w:color="auto" w:fill="EBF8FF"/>
      <w:spacing w:before="300" w:after="300"/>
      <w:jc w:val="both"/>
    </w:pPr>
    <w:rPr>
      <w:i/>
      <w:iCs/>
      <w:sz w:val="22"/>
      <w:szCs w:val="22"/>
    </w:rPr>
  </w:style>
  <w:style w:type="paragraph" w:customStyle="1" w:styleId="math">
    <w:name w:val="math"/>
    <w:basedOn w:val="Normal"/>
    <w:pPr>
      <w:spacing w:before="225" w:after="225"/>
      <w:jc w:val="center"/>
    </w:pPr>
    <w:rPr>
      <w:rFonts w:ascii="Georgia" w:hAnsi="Georgia"/>
      <w:b/>
      <w:bCs/>
      <w:i/>
      <w:iCs/>
    </w:rPr>
  </w:style>
  <w:style w:type="paragraph" w:customStyle="1" w:styleId="page-break">
    <w:name w:val="page-break"/>
    <w:basedOn w:val="Normal"/>
    <w:pPr>
      <w:pageBreakBefore/>
      <w:spacing w:before="100" w:beforeAutospacing="1" w:after="120"/>
      <w:jc w:val="both"/>
    </w:pPr>
    <w:rPr>
      <w:sz w:val="22"/>
      <w:szCs w:val="22"/>
    </w:rPr>
  </w:style>
  <w:style w:type="paragraph" w:customStyle="1" w:styleId="bibliography-list">
    <w:name w:val="bibliography-list"/>
    <w:basedOn w:val="Normal"/>
    <w:pPr>
      <w:spacing w:before="100" w:beforeAutospacing="1" w:after="120"/>
      <w:jc w:val="both"/>
    </w:pPr>
    <w:rPr>
      <w:sz w:val="22"/>
      <w:szCs w:val="22"/>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796581">
      <w:bodyDiv w:val="1"/>
      <w:marLeft w:val="0"/>
      <w:marRight w:val="0"/>
      <w:marTop w:val="600"/>
      <w:marBottom w:val="600"/>
      <w:divBdr>
        <w:top w:val="none" w:sz="0" w:space="0" w:color="auto"/>
        <w:left w:val="none" w:sz="0" w:space="0" w:color="auto"/>
        <w:bottom w:val="none" w:sz="0" w:space="0" w:color="auto"/>
        <w:right w:val="none" w:sz="0" w:space="0" w:color="auto"/>
      </w:divBdr>
      <w:divsChild>
        <w:div w:id="1197817482">
          <w:marLeft w:val="0"/>
          <w:marRight w:val="0"/>
          <w:marTop w:val="0"/>
          <w:marBottom w:val="600"/>
          <w:divBdr>
            <w:top w:val="none" w:sz="0" w:space="0" w:color="auto"/>
            <w:left w:val="none" w:sz="0" w:space="0" w:color="auto"/>
            <w:bottom w:val="single" w:sz="12" w:space="15" w:color="2B6CB0"/>
            <w:right w:val="none" w:sz="0" w:space="0" w:color="auto"/>
          </w:divBdr>
          <w:divsChild>
            <w:div w:id="2103719218">
              <w:marLeft w:val="0"/>
              <w:marRight w:val="0"/>
              <w:marTop w:val="0"/>
              <w:marBottom w:val="450"/>
              <w:divBdr>
                <w:top w:val="none" w:sz="0" w:space="0" w:color="auto"/>
                <w:left w:val="none" w:sz="0" w:space="0" w:color="auto"/>
                <w:bottom w:val="none" w:sz="0" w:space="0" w:color="auto"/>
                <w:right w:val="none" w:sz="0" w:space="0" w:color="auto"/>
              </w:divBdr>
            </w:div>
          </w:divsChild>
        </w:div>
        <w:div w:id="1352873372">
          <w:marLeft w:val="0"/>
          <w:marRight w:val="0"/>
          <w:marTop w:val="0"/>
          <w:marBottom w:val="600"/>
          <w:divBdr>
            <w:top w:val="single" w:sz="6" w:space="15" w:color="CBD5E0"/>
            <w:left w:val="single" w:sz="6" w:space="15" w:color="CBD5E0"/>
            <w:bottom w:val="single" w:sz="6" w:space="15" w:color="CBD5E0"/>
            <w:right w:val="single" w:sz="6" w:space="15" w:color="CBD5E0"/>
          </w:divBdr>
        </w:div>
        <w:div w:id="2028020058">
          <w:marLeft w:val="0"/>
          <w:marRight w:val="0"/>
          <w:marTop w:val="300"/>
          <w:marBottom w:val="300"/>
          <w:divBdr>
            <w:top w:val="none" w:sz="0" w:space="0" w:color="auto"/>
            <w:left w:val="single" w:sz="24" w:space="11" w:color="3182CE"/>
            <w:bottom w:val="none" w:sz="0" w:space="0" w:color="auto"/>
            <w:right w:val="none" w:sz="0" w:space="0" w:color="auto"/>
          </w:divBdr>
        </w:div>
        <w:div w:id="301346570">
          <w:marLeft w:val="0"/>
          <w:marRight w:val="0"/>
          <w:marTop w:val="300"/>
          <w:marBottom w:val="300"/>
          <w:divBdr>
            <w:top w:val="none" w:sz="0" w:space="0" w:color="auto"/>
            <w:left w:val="single" w:sz="24" w:space="11" w:color="3182CE"/>
            <w:bottom w:val="none" w:sz="0" w:space="0" w:color="auto"/>
            <w:right w:val="none" w:sz="0" w:space="0" w:color="auto"/>
          </w:divBdr>
        </w:div>
        <w:div w:id="486285850">
          <w:marLeft w:val="0"/>
          <w:marRight w:val="0"/>
          <w:marTop w:val="300"/>
          <w:marBottom w:val="300"/>
          <w:divBdr>
            <w:top w:val="none" w:sz="0" w:space="0" w:color="auto"/>
            <w:left w:val="single" w:sz="24" w:space="11" w:color="3182CE"/>
            <w:bottom w:val="none" w:sz="0" w:space="0" w:color="auto"/>
            <w:right w:val="none" w:sz="0" w:space="0" w:color="auto"/>
          </w:divBdr>
        </w:div>
        <w:div w:id="1309938951">
          <w:marLeft w:val="0"/>
          <w:marRight w:val="0"/>
          <w:marTop w:val="300"/>
          <w:marBottom w:val="300"/>
          <w:divBdr>
            <w:top w:val="none" w:sz="0" w:space="0" w:color="auto"/>
            <w:left w:val="single" w:sz="24" w:space="11" w:color="3182CE"/>
            <w:bottom w:val="none" w:sz="0" w:space="0" w:color="auto"/>
            <w:right w:val="none" w:sz="0" w:space="0" w:color="auto"/>
          </w:divBdr>
        </w:div>
        <w:div w:id="1059330105">
          <w:marLeft w:val="0"/>
          <w:marRight w:val="0"/>
          <w:marTop w:val="225"/>
          <w:marBottom w:val="225"/>
          <w:divBdr>
            <w:top w:val="none" w:sz="0" w:space="0" w:color="auto"/>
            <w:left w:val="none" w:sz="0" w:space="0" w:color="auto"/>
            <w:bottom w:val="none" w:sz="0" w:space="0" w:color="auto"/>
            <w:right w:val="none" w:sz="0" w:space="0" w:color="auto"/>
          </w:divBdr>
        </w:div>
        <w:div w:id="1578007437">
          <w:marLeft w:val="0"/>
          <w:marRight w:val="0"/>
          <w:marTop w:val="300"/>
          <w:marBottom w:val="300"/>
          <w:divBdr>
            <w:top w:val="none" w:sz="0" w:space="0" w:color="auto"/>
            <w:left w:val="single" w:sz="24" w:space="11" w:color="3182CE"/>
            <w:bottom w:val="none" w:sz="0" w:space="0" w:color="auto"/>
            <w:right w:val="none" w:sz="0" w:space="0" w:color="auto"/>
          </w:divBdr>
        </w:div>
        <w:div w:id="11954729">
          <w:marLeft w:val="0"/>
          <w:marRight w:val="0"/>
          <w:marTop w:val="225"/>
          <w:marBottom w:val="225"/>
          <w:divBdr>
            <w:top w:val="none" w:sz="0" w:space="0" w:color="auto"/>
            <w:left w:val="none" w:sz="0" w:space="0" w:color="auto"/>
            <w:bottom w:val="none" w:sz="0" w:space="0" w:color="auto"/>
            <w:right w:val="none" w:sz="0" w:space="0" w:color="auto"/>
          </w:divBdr>
        </w:div>
        <w:div w:id="1312907575">
          <w:marLeft w:val="0"/>
          <w:marRight w:val="0"/>
          <w:marTop w:val="300"/>
          <w:marBottom w:val="300"/>
          <w:divBdr>
            <w:top w:val="none" w:sz="0" w:space="0" w:color="auto"/>
            <w:left w:val="single" w:sz="24" w:space="11" w:color="3182CE"/>
            <w:bottom w:val="none" w:sz="0" w:space="0" w:color="auto"/>
            <w:right w:val="none" w:sz="0" w:space="0" w:color="auto"/>
          </w:divBdr>
        </w:div>
        <w:div w:id="303393217">
          <w:marLeft w:val="0"/>
          <w:marRight w:val="0"/>
          <w:marTop w:val="225"/>
          <w:marBottom w:val="225"/>
          <w:divBdr>
            <w:top w:val="none" w:sz="0" w:space="0" w:color="auto"/>
            <w:left w:val="none" w:sz="0" w:space="0" w:color="auto"/>
            <w:bottom w:val="none" w:sz="0" w:space="0" w:color="auto"/>
            <w:right w:val="none" w:sz="0" w:space="0" w:color="auto"/>
          </w:divBdr>
        </w:div>
        <w:div w:id="1027953100">
          <w:marLeft w:val="0"/>
          <w:marRight w:val="0"/>
          <w:marTop w:val="300"/>
          <w:marBottom w:val="300"/>
          <w:divBdr>
            <w:top w:val="none" w:sz="0" w:space="0" w:color="auto"/>
            <w:left w:val="single" w:sz="24" w:space="11" w:color="3182CE"/>
            <w:bottom w:val="none" w:sz="0" w:space="0" w:color="auto"/>
            <w:right w:val="none" w:sz="0" w:space="0" w:color="auto"/>
          </w:divBdr>
        </w:div>
        <w:div w:id="451289167">
          <w:marLeft w:val="0"/>
          <w:marRight w:val="0"/>
          <w:marTop w:val="300"/>
          <w:marBottom w:val="300"/>
          <w:divBdr>
            <w:top w:val="none" w:sz="0" w:space="0" w:color="auto"/>
            <w:left w:val="single" w:sz="24" w:space="11" w:color="3182CE"/>
            <w:bottom w:val="none" w:sz="0" w:space="0" w:color="auto"/>
            <w:right w:val="none" w:sz="0" w:space="0" w:color="auto"/>
          </w:divBdr>
        </w:div>
        <w:div w:id="235628091">
          <w:marLeft w:val="0"/>
          <w:marRight w:val="0"/>
          <w:marTop w:val="300"/>
          <w:marBottom w:val="300"/>
          <w:divBdr>
            <w:top w:val="none" w:sz="0" w:space="0" w:color="auto"/>
            <w:left w:val="single" w:sz="24" w:space="11" w:color="3182CE"/>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2087</Words>
  <Characters>11481</Characters>
  <Application>Microsoft Office Word</Application>
  <DocSecurity>0</DocSecurity>
  <Lines>95</Lines>
  <Paragraphs>27</Paragraphs>
  <ScaleCrop>false</ScaleCrop>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Integrador: Sistema de Semáforos Inteligentes</dc:title>
  <dc:subject/>
  <dc:creator>Fernando Zacarias</dc:creator>
  <cp:keywords/>
  <dc:description/>
  <cp:lastModifiedBy>Fernando Zacarias</cp:lastModifiedBy>
  <cp:revision>2</cp:revision>
  <dcterms:created xsi:type="dcterms:W3CDTF">2026-06-08T16:34:00Z</dcterms:created>
  <dcterms:modified xsi:type="dcterms:W3CDTF">2026-06-08T16:34:00Z</dcterms:modified>
</cp:coreProperties>
</file>