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88A24"/>
          <w:sz w:val="19"/>
        </w:rPr>
        <w:t>PROGRAMACIÓN GRÁFICA • PROYECTO INTEGRADOR POR ETAPAS</w:t>
      </w:r>
    </w:p>
    <w:p>
      <w:pPr>
        <w:spacing w:before="0" w:after="120"/>
      </w:pPr>
      <w:r>
        <w:rPr>
          <w:rFonts w:ascii="Calibri" w:hAnsi="Calibri"/>
          <w:b/>
          <w:color w:val="1B365D"/>
          <w:sz w:val="48"/>
        </w:rPr>
        <w:t>Ciudad 3D y Simulación de Conducción Urbana</w:t>
      </w:r>
    </w:p>
    <w:p>
      <w:pPr>
        <w:spacing w:before="0" w:after="280"/>
      </w:pPr>
      <w:r>
        <w:rPr>
          <w:rFonts w:ascii="Calibri" w:hAnsi="Calibri"/>
          <w:color w:val="2E6B9E"/>
          <w:sz w:val="24"/>
        </w:rPr>
        <w:t>Documento Breve de Diseño, Controles, Arquitectura, Limitaciones y Guía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Lenguaje y Gráficos</w:t>
              <w:br/>
            </w:r>
            <w:r>
              <w:rPr>
                <w:rFonts w:ascii="Calibri" w:hAnsi="Calibri"/>
                <w:color w:val="646E7D"/>
                <w:sz w:val="16"/>
              </w:rPr>
              <w:t>Java 17 / OpenGL 3.3 Core Profile</w:t>
              <w:br/>
              <w:t>LWJGL 3.3.3 + GLSL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Módulos Integrados</w:t>
              <w:br/>
            </w:r>
            <w:r>
              <w:rPr>
                <w:rFonts w:ascii="Calibri" w:hAnsi="Calibri"/>
                <w:color w:val="646E7D"/>
                <w:sz w:val="16"/>
              </w:rPr>
              <w:t>11x11 Grid, IA Tráfico, Entregas</w:t>
              <w:br/>
              <w:t>HUD Doble Esfera, Menú Pausa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17"/>
              </w:rPr>
              <w:t>Estado de Pruebas</w:t>
              <w:br/>
            </w:r>
            <w:r>
              <w:rPr>
                <w:rFonts w:ascii="Calibri" w:hAnsi="Calibri"/>
                <w:color w:val="646E7D"/>
                <w:sz w:val="16"/>
              </w:rPr>
              <w:t>13/13 Tests Unitarios Aprobados</w:t>
              <w:br/>
              <w:t>100% Procedural sin Assets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1. Descripción del Diseño y Distribución Urbana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El entorno tridimensional se estructura a partir de una matriz espacial continua de 11x11 celdas interconectadas que cubre una superficie total de asfalto de 110 × 110 unidades mundiales (delimitada estrictamente en el rango de -55 a +55 en los ejes X y Z). Dicha escala garantiza el despliegue de una urbe completa, funcional y transitable, diseñada bajo las siguientes premisas arquitectónicas: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Zonificación y Manzanas: </w:t>
      </w:r>
      <w:r>
        <w:rPr>
          <w:rFonts w:ascii="Calibri" w:hAnsi="Calibri"/>
          <w:color w:val="282D37"/>
          <w:sz w:val="19"/>
        </w:rPr>
        <w:t xml:space="preserve"> Distribución de 12 manzanas edificadas y 4 parques temáticos: Las manzanas edificadas cuentan con rascacielos y bloques corporativos de altura volumétrica variable (entre 7 y 28 unidades) con paletas cromáticas distintivas (marfil corporativo, azul acero, terracota residencial, gris granito) y fachadas detalladas mediante matrices de ventanas procedimentales iluminadas. Los 4 parques temáticos (Distrito Verde / Parque Central y parques auxiliares en cuadrantes) incorporan césped natural, árboles tridimensionales compuestos por troncos leñosos y copas poliédricas de follaje, bancos de madera de descanso y farolas viales.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Red de Circulación: </w:t>
      </w:r>
      <w:r>
        <w:rPr>
          <w:rFonts w:ascii="Calibri" w:hAnsi="Calibri"/>
          <w:color w:val="282D37"/>
          <w:sz w:val="19"/>
        </w:rPr>
        <w:t xml:space="preserve"> Coherencia vial y accesibilidad absoluta: Todas las calles poseen un ancho reglamentario de 10 unidades con avenidas perimetrales e interiores de doble vía. Todas las manzanas, destinos de entrega y cruces están perfectamente conectados por calzadas asfaltadas transitables sin callejones sin salida ni obstáculos que impidan la circulación continua.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Señalización e Identidad: </w:t>
      </w:r>
      <w:r>
        <w:rPr>
          <w:rFonts w:ascii="Calibri" w:hAnsi="Calibri"/>
          <w:color w:val="282D37"/>
          <w:sz w:val="19"/>
        </w:rPr>
        <w:t xml:space="preserve"> Señalización y mobiliario urbano: Cada una de las intersecciones viales incorpora pasos peatonales cebrados reglamentarios de acera a acera con franjas amarillas de seguridad, marcas longitudinales discontinuas en los carriles, tótems direccionales con flechas de señalización urbana en las esquinas, 16 farolas de iluminación nocturna distribuidas homogéneamente y semáforos animados con alternancia cromática de fases.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Sectores Urbanos: </w:t>
      </w:r>
      <w:r>
        <w:rPr>
          <w:rFonts w:ascii="Calibri" w:hAnsi="Calibri"/>
          <w:color w:val="282D37"/>
          <w:sz w:val="19"/>
        </w:rPr>
        <w:t xml:space="preserve"> División sectorial por cuadrantes: La urbe se divide en cinco distritos reconocibles: Sector Noroeste (Residencial), Sector Noreste (Financiero), Sector Suroeste (Comercial), Sector Sureste (Industrial) y Distrito Centro (Cívico y Parque Central), reflejados activamente en el cuadro de mandos del vehículo.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2. Guía de Controles del Sistema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El vehículo del jugador y el entorno se controlan en tiempo real mediante el teclado. La siguiente tabla resume el mapa completo de asignación de teclas, su función y su alcance operativo: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Tecla(s)</w:t>
            </w:r>
          </w:p>
        </w:tc>
        <w:tc>
          <w:tcPr>
            <w:tcW w:type="dxa" w:w="619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Acción y Comportamiento Dinámico</w:t>
            </w:r>
          </w:p>
        </w:tc>
        <w:tc>
          <w:tcPr>
            <w:tcW w:type="dxa" w:w="115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W  /  Flecha Arriba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Aceleración continua del motor hacia delante (+9 u/s²; hasta 60 km/h). Reactiva aguja de RPM.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S  /  Flecha Abajo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Freno motor progresivo y marcha atrás / reversa (hasta -22 km/h).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A / D  o  Flechas Izq/Der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Dirección del volante; ángulo de giro reactivo a la velocidad de marcha.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ESPACIO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Freno de mano instantáneo con desaceleración exponencial rápida.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C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Alternar cíclicamente los 4 modos de cámara estilo GTA (Cercana, Lejana, Capó, Aérea).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H  /  B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Bocina continua bitonal (435/515 Hz) mientras se mantenga pulsada; alerta al tráfico.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N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Alternar ciclo Día / Noche (activa iluminación lunar, cielo nocturno y encendido de farolas).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3+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F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Interruptor manual de faros delanteros del vehículo del jugador (haces cónicos de luz).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3+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M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Mostrar / Ocultar radar minimapa cenital interactivo en la esquina superior derecha.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4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P  /  TAB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Pausar o reanudar el juego; despliega la guía interactiva y congela física y cronómetro.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4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Reiniciar partida: restaura vehículo, entregas, tráfico autónomo y cronómetro a cero.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Clase 2+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ESC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82D37"/>
                <w:sz w:val="17"/>
              </w:rPr>
              <w:t>Cerrar la aplicación de manera ordenada liberando los recursos OpenGL y GLFW.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646E7D"/>
                <w:sz w:val="17"/>
              </w:rPr>
              <w:t>Todas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3. Funciones Implementadas y Arquitectura Técnica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El proyecto se construyó bajo una arquitectura modular y progresiva en 4 clases principales que heredan y amplían componentes, cumpliendo con la totalidad de los requisitos de la rúbrica de evaluación y bonificaciones: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A. Pipeline Gráfico y Renderizado Procedural (Clase 1)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Shaders GLSL Personalizados: Vertex shader y Fragment shader programados en GLSL 3.30 Core sin intermediarios. Incorporan 3 modos de proyección gestionados mediante el uniform 'uMapa':</w:t>
        <w:br/>
        <w:t xml:space="preserve">   - uMapa = 0: Cámara tridimensional con perspectiva y relación de aspecto dinámica (55° FOV).</w:t>
        <w:br/>
        <w:t xml:space="preserve">   - uMapa = 1: Proyección ortográfica cenital para el minimapa superior con orden de profundidad invertido.</w:t>
        <w:br/>
        <w:t xml:space="preserve">   - uMapa = 2: Proyección bidimensional directa en pantalla con rotación 2D en plano XY para agujas del tablero y HUD.</w:t>
        <w:br/>
        <w:t>• Geometría Explícita mediante VAO y VBO: Un único cubo canónico de 36 vértices con normales explícitas en memoria de video GPU. A través de matrices de escalado, traslación y rotación ('caja' y 'cajaGirada') se instancian todos los edificios, calzadas, farolas, vehículos, agujas y paneles.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B. Física de Conducción, Colisiones y Cámaras GTA (Clase 2)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Cinemática Vehicular Realista: Aceleración por integración continua (9 u/s²), rozamiento exponencial de rodadura, reversa suave (-6 u/s) y velocidad punta de avance de 16 u/s (equivalente a ~58-60 km/h reales).</w:t>
        <w:br/>
        <w:t>• Detección Continua de Colisiones: Modelo de proximidad círculo-rectángulo que impide invasiones de aceras, choques contra edificios, obstáculos urbanos, salida del perímetro perimetral (55 unidades) o colisión con otros vehículos.</w:t>
        <w:br/>
        <w:t>• Cuatro Modos de Cámara Estilo GTA (Tecla C): Cercana (seguimiento suave tras el maletero), Lejana (órbita amplia de seguimiento), Capó/Primera persona (vista de conducción inmersiva al ras) y Aérea cenital GTA clásico.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C. Iluminación Dinámica Diurna/Nocturna y Focos de Vehículo (Clase 3)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Ciclo Día / Noche (Tecla N): El ambiente diurno presenta cielo celeste brillante (#3D9EFA), luz ambiental clara y luz direccional solar cálida tipo Lambertiana. El ambiente nocturno reduce la luz ambiental a tonos azulados oscuros (#0A101F) con luz lunar fría y encendido automático de las 16 farolas urbanas.</w:t>
        <w:br/>
        <w:t>• Iluminación Puntual por Farolas: 16 fuentes de luz cálida (1.0, 0.73, 0.34) con atenuación cuadrática en función de la distancia física (1.0 / (1.0 + 0.12*d + 0.045*d²)) calculada por fragmento.</w:t>
        <w:br/>
        <w:t>• Faros Cónicos Delanteros del Auto (Tecla F): Doble cono proyector frontal con haz angular suavizado mediante la función 'smoothstep(0.85, 0.97, alineacion)' que ilumina el asfalto y fachadas nocturnas.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D. Cuadro de Mandos Deportivo HUD y Menú de Pausa (SistemaInterfaz)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Tacómetro Analógico (RPM): Esfera circular graduada de 0 a 8 (x1000 RPM) con marcas radiales, rótulos 'RPM' y 'x1000', zona roja ('Redline') en arco vivo de 5.5k a 8.0k RPM y aguja analógica deportiva naranja con inercia de motor reactiva que sube dinámicamente al presionar W/Acelerador y desciende al ralentí (1000 RPM) al frenar o soltar.</w:t>
        <w:br/>
        <w:t>• Velocímetro Analógico (KM/H): Esfera circular graduada de 0 a 60 km/h con aguja analógica azul ártico y display digital integrado de 7 segmentos LED que proyecta numéricamente la velocidad exacta en tiempo real.</w:t>
        <w:br/>
        <w:t>• Consola Central de Testigos: Indicadores luminosos de marcha (P en rojo, D en verde, R en ámbar), testigo de faros (LUCES ON en verde / LUCES OFF en gris), modo ambiental (DIA / NOCHE) y testigo luminoso de claxon.</w:t>
        <w:br/>
        <w:t>• Menú de Pausa Profesional (Teclas P / TAB): Superposición translúcida con tarjeta dorada, tipografía vectorial procedural 3x5 y teclas 3D estilizadas con sus nombres y descripciones legibles, congelando la física y el cronómetro.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E. Tráfico Autónomo Inteligente con Respeto de Semáforos (SistemaTrafico)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Vehículos Autónomos en Red Vial: Múltiples unidades (Taxi urbano, Autobús, Sedan, Coupé deportivo) con colores y carrocerías diferenciadas que patrullan la ciudad.</w:t>
        <w:br/>
        <w:t>• Circulación Estricta por Carril Derecho: Trayectorias basadas en waypoints desplazados ±2.3 unidades respecto al eje central de la calle, respetando las normas de tránsito vehicular.</w:t>
        <w:br/>
        <w:t>• Respeto Obligatorio de Semáforos: Los vehículos monitorean la señalización del cruce frontal y realizan una frenada suave ante luces rojas o amarillas, reanudando la marcha únicamente cuando el eje se encuentra en verde.</w:t>
        <w:br/>
        <w:t>• Respuesta Activa a la Bocina: Al sonar el claxon del jugador (H/B), los vehículos de tráfico que se encuentran delante en el cono frontal aceleran para ceder el paso.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F. Sistema de Entregas y Semáforos Sincronizados (SistemaEntregas y SistemaSemaforos)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Misiones de Entrega: Sistema secuencial a 4 destinos urbanos representados mediante balizas luminosas verticales doradas. Para completar una entrega, el jugador debe detenerse a menos de 3 unidades del destino con velocidad inferior a 1 u/s.</w:t>
        <w:br/>
        <w:t>• Semáforos Temporizados: Ciclo continuo de 14 segundos (verde 5s, amarillo 2s, rojo 5s) con alternancia estricta entre calles Norte-Sur y Este-Oeste, garantizando que nunca coincidan ambos ejes en verde.</w:t>
      </w:r>
    </w:p>
    <w:p>
      <w:pPr>
        <w:keepNext/>
        <w:spacing w:before="200" w:after="60"/>
      </w:pPr>
      <w:r>
        <w:rPr>
          <w:rFonts w:ascii="Calibri" w:hAnsi="Calibri"/>
          <w:b/>
          <w:color w:val="2E6B9E"/>
          <w:sz w:val="23"/>
        </w:rPr>
        <w:t>G. Motor de Audio Sintético Procedural (SistemaAudio)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Síntesis Acústica en Tiempo Real: Generación bitonal simultánea de frecuencias automotrices de bocina (435 Hz y 515 Hz) mediante la API estándar Java Sound (javax.sound.sampled) en formato PCM estéreo de 44.1 kHz a 16 bits. Se reproduce de forma continua mientras se mantenga presionada la tecla H o B y cesa inmediatamente al soltarla.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4. Limitaciones del Sistema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En concordancia con el alcance didáctico y los requerimientos estrictos de independencia de librerías externas del proyecto, se reconocen las siguientes limitaciones técnicas deliberadas: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Geometría Exclusivamente Paramétrica: No se realiza carga de modelos 3D en formatos externos (.obj, .fbx, .gltf); toda la ciudad, vehículos, árboles y detalles están modelados proceduralmente mediante prismas y rotaciones ortogonales.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Ausencia de Mapas de Sombras Proyectadas (Shadow Mapping): La iluminación difusa y cónica se evalúa por fragmento en tiempo real mediante el modelo Lambertiano, por lo que las superficies no proyectan sombras oclusivas duras sobre otras estructuras.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Cinemática Vehicular en el Plano Terrestre: El vehículo opera sobre la rasante de la calzada (plano Y = constante), sin simulación de suspensión física avanzada, vuelcos, deformación de carrocería ni saltos parabólicos en 3D.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Dependencia de Contexto Gráfico de Ventana: Requiere un entorno gráfico con soporte nativo de OpenGL 3.3 Core Profile; no puede ejecutarse en terminales de servidor headless que carezcan de servidor X o subsistema de ventanas.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5. Instrucciones de Compilación y Ejecución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Para ejecutar el proyecto se requiere Java Development Kit (JDK 17 o superior) y Apache Maven instalados y configurados en las variables de entorno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504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E6B9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19"/>
              </w:rPr>
              <w:t>INSTRUCCIONES DE EJECUCIÓN PASO A PASO</w:t>
              <w:br/>
            </w:r>
            <w:r>
              <w:rPr>
                <w:rFonts w:ascii="Calibri" w:hAnsi="Calibri"/>
                <w:i/>
                <w:color w:val="282D37"/>
                <w:sz w:val="18"/>
              </w:rPr>
              <w:t>Comandos de consola (ejecutar en la raíz del proyecto donde se ubica pom.xml):</w:t>
              <w:br/>
              <w:br/>
              <w:t>1. Compilar todo el proyecto y verificar dependencias:</w:t>
              <w:br/>
              <w:t xml:space="preserve">   mvn clean compile</w:t>
              <w:br/>
              <w:br/>
              <w:t>2. Ejecutar la versión final completa (Recomendado - Clase 4):</w:t>
              <w:br/>
              <w:t xml:space="preserve">   mvn compile exec:exec -DmainClass=com.graphics.clase4</w:t>
              <w:br/>
              <w:br/>
              <w:t>3. Ejecutar las etapas individuales de enseñanza:</w:t>
              <w:br/>
              <w:t xml:space="preserve">   mvn compile exec:exec -DmainClass=com.graphics.clase1  (Ciudad base y cámara orbital)</w:t>
              <w:br/>
              <w:t xml:space="preserve">   mvn compile exec:exec -DmainClass=com.graphics.clase2  (Conducción, colisiones y cámaras)</w:t>
              <w:br/>
              <w:t xml:space="preserve">   mvn compile exec:exec -DmainClass=com.graphics.clase3  (Iluminación diurna/nocturna y faros)</w:t>
              <w:br/>
              <w:br/>
              <w:t>4. Ejecutar la suite automatizada de pruebas unitarias:</w:t>
              <w:br/>
              <w:t xml:space="preserve">   mvn test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Al ejecutar 'mvn test', el sistema ejecuta automáticamente los 13 casos de prueba en ConduccionTest, validando la transitabilidad urbana, colisiones contra aceras y vehículos, carril derecho del tráfico, alternancia segura de semáforos, bocina y pausas, obteniendo el 100% de éxito (BUILD SUCCESS).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6. Declaración de Recursos y Fragmentos Externos Utilizados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En cumplimiento de los principios de transparencia académica y originalidad, se declaran los siguientes recursos: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Librerías de Terceros (Gestionadas en pom.xml):</w:t>
        <w:br/>
        <w:t xml:space="preserve">   - LWJGL 3.3.3 (Lightweight Java Game Library): Enlaces oficiales a GLFW para creación de ventana y eventos de entrada, y bindings de OpenGL 3.3 Core Profile.</w:t>
        <w:br/>
        <w:t xml:space="preserve">   - JUnit 3.8.1: Marco para la ejecución de pruebas unitarias de lógica y física en modo sin ventana.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Recursos Multimedia y Assets Externos (0% Utilizados):</w:t>
        <w:br/>
        <w:t xml:space="preserve">   - 0 Imágenes / Texturas externas: No se utiliza ningún archivo PNG, JPG o BMP. Todo color, patrón, asfalto y cristal es procedural.</w:t>
        <w:br/>
        <w:t xml:space="preserve">   - 0 Modelos 3D externos: No se utiliza ningún archivo OBJ o FBX. Toda la geometría se genera en código mediante VAO/VBO.</w:t>
        <w:br/>
        <w:t xml:space="preserve">   - 0 Archivos de Audio: No se utiliza ningún archivo WAV o MP3. La bocina es sintetizada en tiempo real mediante cálculo senoidal.</w:t>
        <w:br/>
        <w:t xml:space="preserve">   - 0 Fuentes tipográficas: El texto del HUD y pausa utiliza un rasterizador de matrices de bits 3x5 implementado en Java puro.</w:t>
      </w:r>
    </w:p>
    <w:p>
      <w:pPr>
        <w:spacing w:before="0" w:after="80" w:line="276" w:lineRule="auto"/>
      </w:pPr>
      <w:r>
        <w:rPr>
          <w:rFonts w:ascii="Calibri" w:hAnsi="Calibri"/>
          <w:color w:val="282D37"/>
          <w:sz w:val="19"/>
        </w:rPr>
        <w:t>• Fragmentos Base de Referencia Docente:</w:t>
        <w:br/>
        <w:t xml:space="preserve">   - Código conceptual de partida basado en los ejemplos de aula 'AppCamara.java' y 'AppLaberinto.java' para el VAO/VBO unitario del cubo canónico y el ciclo de eventos GLFW. Todas las ampliaciones de ciudad 11x11, física de conducción, iluminación, tráfico autónomo, misiones, cuadro de instrumentos y menús han sido desarrolladas integralmente para esta práctica.</w:t>
      </w:r>
    </w:p>
    <w:sectPr w:rsidR="00FC693F" w:rsidRPr="0006063C" w:rsidSect="00034616">
      <w:footerReference w:type="default" r:id="rId9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828C"/>
        <w:sz w:val="17"/>
      </w:rPr>
      <w:t>Proyecto Ciudad y Conducción 3D | Documentación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