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9E0AB6" w:rsidRPr="002A71DB">
        <w:trPr>
          <w:jc w:val="center"/>
        </w:trPr>
        <w:tc>
          <w:tcPr>
            <w:tcW w:w="9638" w:type="dxa"/>
            <w:shd w:val="clear" w:color="auto" w:fill="1F4E79"/>
            <w:vAlign w:val="center"/>
          </w:tcPr>
          <w:p w:rsidR="009E0AB6" w:rsidRPr="002A71DB" w:rsidRDefault="002A71DB" w:rsidP="002A71DB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2A71DB">
              <w:rPr>
                <w:rFonts w:ascii="Verdana" w:hAnsi="Verdana"/>
                <w:b/>
                <w:color w:val="FFFFFF"/>
                <w:sz w:val="20"/>
                <w:szCs w:val="20"/>
                <w:lang w:val="es-ES"/>
              </w:rPr>
              <w:t>M</w:t>
            </w:r>
            <w:r>
              <w:rPr>
                <w:rFonts w:ascii="Verdana" w:hAnsi="Verdana"/>
                <w:b/>
                <w:color w:val="FFFFFF"/>
                <w:sz w:val="20"/>
                <w:szCs w:val="20"/>
                <w:lang w:val="es-ES"/>
              </w:rPr>
              <w:t>ETODOLOGÍA DE LA INVESTIGACIÓN</w:t>
            </w:r>
            <w:r w:rsidRPr="002A71DB">
              <w:rPr>
                <w:rFonts w:ascii="Verdana" w:hAnsi="Verdana"/>
                <w:b/>
                <w:color w:val="FFFFFF"/>
                <w:sz w:val="20"/>
                <w:szCs w:val="20"/>
                <w:lang w:val="es-ES"/>
              </w:rPr>
              <w:br/>
              <w:t xml:space="preserve">Tarea 3. </w:t>
            </w:r>
            <w:proofErr w:type="spellStart"/>
            <w:r w:rsidRPr="002A71DB">
              <w:rPr>
                <w:rFonts w:ascii="Verdana" w:hAnsi="Verdana"/>
                <w:b/>
                <w:color w:val="FFFFFF"/>
                <w:sz w:val="20"/>
                <w:szCs w:val="20"/>
              </w:rPr>
              <w:t>Lectura</w:t>
            </w:r>
            <w:proofErr w:type="spellEnd"/>
            <w:r w:rsidRPr="002A71DB"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2A71DB">
              <w:rPr>
                <w:rFonts w:ascii="Verdana" w:hAnsi="Verdana"/>
                <w:b/>
                <w:color w:val="FFFFFF"/>
                <w:sz w:val="20"/>
                <w:szCs w:val="20"/>
              </w:rPr>
              <w:t>crítica</w:t>
            </w:r>
            <w:proofErr w:type="spellEnd"/>
          </w:p>
        </w:tc>
      </w:tr>
    </w:tbl>
    <w:p w:rsidR="009E0AB6" w:rsidRPr="002A71DB" w:rsidRDefault="009E0AB6">
      <w:pPr>
        <w:rPr>
          <w:rFonts w:ascii="Verdana" w:hAnsi="Verdana"/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9E0AB6" w:rsidRPr="002A71DB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9E0AB6" w:rsidRPr="002A71DB" w:rsidRDefault="002A71DB" w:rsidP="002A71D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b/>
                <w:sz w:val="20"/>
                <w:szCs w:val="20"/>
              </w:rPr>
              <w:t>Nombre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>,</w:t>
            </w:r>
            <w:r w:rsidRPr="002A71DB">
              <w:rPr>
                <w:rFonts w:ascii="Verdana" w:hAnsi="Verdana"/>
                <w:b/>
                <w:sz w:val="20"/>
                <w:szCs w:val="20"/>
              </w:rPr>
              <w:t xml:space="preserve"> </w:t>
            </w:r>
            <w:proofErr w:type="spellStart"/>
            <w:r w:rsidRPr="002A71DB">
              <w:rPr>
                <w:rFonts w:ascii="Verdana" w:hAnsi="Verdana"/>
                <w:b/>
                <w:sz w:val="20"/>
                <w:szCs w:val="20"/>
              </w:rPr>
              <w:t>apellidos</w:t>
            </w:r>
            <w:proofErr w:type="spellEnd"/>
            <w:r>
              <w:rPr>
                <w:rFonts w:ascii="Verdana" w:hAnsi="Verdana"/>
                <w:b/>
                <w:sz w:val="20"/>
                <w:szCs w:val="20"/>
              </w:rPr>
              <w:t xml:space="preserve"> y NP</w:t>
            </w:r>
            <w:r w:rsidRPr="002A71DB">
              <w:rPr>
                <w:rFonts w:ascii="Verdana" w:hAnsi="Verdana"/>
                <w:b/>
                <w:sz w:val="20"/>
                <w:szCs w:val="20"/>
              </w:rPr>
              <w:t>:</w:t>
            </w:r>
          </w:p>
        </w:tc>
        <w:tc>
          <w:tcPr>
            <w:tcW w:w="7087" w:type="dxa"/>
            <w:vAlign w:val="center"/>
          </w:tcPr>
          <w:p w:rsidR="009E0AB6" w:rsidRPr="002A71DB" w:rsidRDefault="002A71DB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Borja Martínez Gutiérrez</w:t>
            </w:r>
            <w:r w:rsidRPr="002A71DB">
              <w:rPr>
                <w:rFonts w:ascii="Verdana" w:hAnsi="Verdana"/>
                <w:sz w:val="20"/>
                <w:szCs w:val="20"/>
              </w:rPr>
              <w:t>__</w:t>
            </w:r>
            <w:r>
              <w:rPr>
                <w:rFonts w:ascii="Verdana" w:hAnsi="Verdana"/>
                <w:sz w:val="20"/>
                <w:szCs w:val="20"/>
              </w:rPr>
              <w:t>NP_157868</w:t>
            </w:r>
            <w:r w:rsidRPr="002A71DB">
              <w:rPr>
                <w:rFonts w:ascii="Verdana" w:hAnsi="Verdana"/>
                <w:sz w:val="20"/>
                <w:szCs w:val="20"/>
              </w:rPr>
              <w:t>__________________</w:t>
            </w:r>
          </w:p>
        </w:tc>
      </w:tr>
      <w:tr w:rsidR="009E0AB6" w:rsidRPr="002A71DB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9E0AB6" w:rsidRPr="002A71DB" w:rsidRDefault="002A71DB">
            <w:pPr>
              <w:rPr>
                <w:rFonts w:ascii="Verdana" w:hAnsi="Verdana"/>
                <w:sz w:val="20"/>
                <w:szCs w:val="20"/>
              </w:rPr>
            </w:pPr>
            <w:r w:rsidRPr="002A71DB">
              <w:rPr>
                <w:rFonts w:ascii="Verdana" w:hAnsi="Verdana"/>
                <w:b/>
                <w:sz w:val="20"/>
                <w:szCs w:val="20"/>
              </w:rPr>
              <w:t>Artículo analizado:</w:t>
            </w:r>
          </w:p>
        </w:tc>
        <w:tc>
          <w:tcPr>
            <w:tcW w:w="7087" w:type="dxa"/>
            <w:vAlign w:val="center"/>
          </w:tcPr>
          <w:p w:rsidR="009E0AB6" w:rsidRPr="002A71DB" w:rsidRDefault="002A71DB">
            <w:pPr>
              <w:rPr>
                <w:rFonts w:ascii="Verdana" w:hAnsi="Verdana"/>
                <w:sz w:val="20"/>
                <w:szCs w:val="20"/>
                <w:lang w:val="es-ES"/>
              </w:rPr>
            </w:pPr>
            <w:r w:rsidRPr="002A71DB">
              <w:rPr>
                <w:rFonts w:ascii="Verdana" w:hAnsi="Verdana"/>
                <w:sz w:val="20"/>
                <w:szCs w:val="20"/>
                <w:lang w:val="es-ES"/>
              </w:rPr>
              <w:t xml:space="preserve">“Factores de riesgo cardiovascular en niños y adolescentes españoles con diabetes mellitus tipo 1: evolución a lo </w:t>
            </w:r>
            <w:r w:rsidRPr="002A71DB">
              <w:rPr>
                <w:rFonts w:ascii="Verdana" w:hAnsi="Verdana"/>
                <w:sz w:val="20"/>
                <w:szCs w:val="20"/>
                <w:lang w:val="es-ES"/>
              </w:rPr>
              <w:t>largo de 9 años”.</w:t>
            </w:r>
          </w:p>
        </w:tc>
      </w:tr>
    </w:tbl>
    <w:p w:rsidR="009E0AB6" w:rsidRPr="002A71DB" w:rsidRDefault="009E0AB6">
      <w:pPr>
        <w:rPr>
          <w:rFonts w:ascii="Verdana" w:hAnsi="Verdana"/>
          <w:sz w:val="20"/>
          <w:szCs w:val="20"/>
          <w:lang w:val="es-ES"/>
        </w:rPr>
      </w:pPr>
    </w:p>
    <w:p w:rsidR="009E0AB6" w:rsidRPr="002A71DB" w:rsidRDefault="002A71DB">
      <w:pPr>
        <w:spacing w:before="80" w:after="40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b/>
          <w:color w:val="1F4E79"/>
          <w:sz w:val="20"/>
          <w:szCs w:val="20"/>
          <w:lang w:val="es-ES"/>
        </w:rPr>
        <w:t>1. Componentes de una lectura crítica</w:t>
      </w:r>
    </w:p>
    <w:p w:rsidR="009E0AB6" w:rsidRPr="002A71DB" w:rsidRDefault="002A71DB">
      <w:pPr>
        <w:spacing w:after="60" w:line="252" w:lineRule="auto"/>
        <w:jc w:val="both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sz w:val="20"/>
          <w:szCs w:val="20"/>
          <w:lang w:val="es-ES"/>
        </w:rPr>
        <w:t>Una lectura crítica debe valorar: título y resumen; introducción y justificación; objetivo; diseño del estudio; muestra y criterios de selección; variables e instrumentos de medida; análisis estadís</w:t>
      </w:r>
      <w:r w:rsidRPr="002A71DB">
        <w:rPr>
          <w:rFonts w:ascii="Verdana" w:hAnsi="Verdana"/>
          <w:sz w:val="20"/>
          <w:szCs w:val="20"/>
          <w:lang w:val="es-ES"/>
        </w:rPr>
        <w:t>tico; presentación de resultados; discusión; conclusiones; limitaciones; aspectos éticos; conflicto de intereses y bibliografía. También debe comprobar la coherencia entre objetivos, método, resultados y conclusiones.</w:t>
      </w:r>
    </w:p>
    <w:p w:rsidR="009E0AB6" w:rsidRPr="002A71DB" w:rsidRDefault="002A71DB">
      <w:pPr>
        <w:spacing w:before="80" w:after="40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b/>
          <w:color w:val="1F4E79"/>
          <w:sz w:val="20"/>
          <w:szCs w:val="20"/>
          <w:lang w:val="es-ES"/>
        </w:rPr>
        <w:t>2. Lectura crítica del artículo</w:t>
      </w:r>
    </w:p>
    <w:p w:rsidR="009E0AB6" w:rsidRPr="002A71DB" w:rsidRDefault="002A71DB">
      <w:pPr>
        <w:spacing w:after="60" w:line="252" w:lineRule="auto"/>
        <w:jc w:val="both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sz w:val="20"/>
          <w:szCs w:val="20"/>
          <w:lang w:val="es-ES"/>
        </w:rPr>
        <w:t>El art</w:t>
      </w:r>
      <w:r w:rsidRPr="002A71DB">
        <w:rPr>
          <w:rFonts w:ascii="Verdana" w:hAnsi="Verdana"/>
          <w:sz w:val="20"/>
          <w:szCs w:val="20"/>
          <w:lang w:val="es-ES"/>
        </w:rPr>
        <w:t>ículo presenta una estructura científica completa y ordenada: título, resumen, introducción, pacientes y métodos, resultados, discusión, conflicto de intereses y bibliografía.</w:t>
      </w:r>
      <w:r w:rsidRPr="002A71DB">
        <w:rPr>
          <w:rFonts w:ascii="Verdana" w:hAnsi="Verdana"/>
          <w:sz w:val="20"/>
          <w:szCs w:val="20"/>
          <w:vertAlign w:val="superscript"/>
          <w:lang w:val="es-ES"/>
        </w:rPr>
        <w:t>1</w:t>
      </w:r>
      <w:r w:rsidRPr="002A71DB">
        <w:rPr>
          <w:rFonts w:ascii="Verdana" w:hAnsi="Verdana"/>
          <w:sz w:val="20"/>
          <w:szCs w:val="20"/>
          <w:lang w:val="es-ES"/>
        </w:rPr>
        <w:t xml:space="preserve"> El título es preciso, porque identifica la población, la variable principal y e</w:t>
      </w:r>
      <w:r w:rsidRPr="002A71DB">
        <w:rPr>
          <w:rFonts w:ascii="Verdana" w:hAnsi="Verdana"/>
          <w:sz w:val="20"/>
          <w:szCs w:val="20"/>
          <w:lang w:val="es-ES"/>
        </w:rPr>
        <w:t>l periodo de seguimiento. El resumen está bien construido e incluye objetivo, metodología, resultados principales y conclusión, lo que facilita una primera valoración rápida del estudio.</w:t>
      </w:r>
    </w:p>
    <w:p w:rsidR="009E0AB6" w:rsidRPr="002A71DB" w:rsidRDefault="002A71DB">
      <w:pPr>
        <w:spacing w:after="60" w:line="252" w:lineRule="auto"/>
        <w:jc w:val="both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sz w:val="20"/>
          <w:szCs w:val="20"/>
          <w:lang w:val="es-ES"/>
        </w:rPr>
        <w:t xml:space="preserve">La introducción justifica adecuadamente la investigación, ya que </w:t>
      </w:r>
      <w:r w:rsidRPr="002A71DB">
        <w:rPr>
          <w:rFonts w:ascii="Verdana" w:hAnsi="Verdana"/>
          <w:sz w:val="20"/>
          <w:szCs w:val="20"/>
          <w:lang w:val="es-ES"/>
        </w:rPr>
        <w:t>explica la relevancia de los factores de riesgo cardiovascular en pacientes pediátricos con diabetes mellitus tipo 1 y sitúa el problema dentro del conocimiento previo.</w:t>
      </w:r>
      <w:r w:rsidRPr="002A71DB">
        <w:rPr>
          <w:rFonts w:ascii="Verdana" w:hAnsi="Verdana"/>
          <w:sz w:val="20"/>
          <w:szCs w:val="20"/>
          <w:vertAlign w:val="superscript"/>
          <w:lang w:val="es-ES"/>
        </w:rPr>
        <w:t>1</w:t>
      </w:r>
      <w:r w:rsidRPr="002A71DB">
        <w:rPr>
          <w:rFonts w:ascii="Verdana" w:hAnsi="Verdana"/>
          <w:sz w:val="20"/>
          <w:szCs w:val="20"/>
          <w:lang w:val="es-ES"/>
        </w:rPr>
        <w:t xml:space="preserve"> El objetivo está formulado con claridad y es coherente con el desarrollo posterior del</w:t>
      </w:r>
      <w:r w:rsidRPr="002A71DB">
        <w:rPr>
          <w:rFonts w:ascii="Verdana" w:hAnsi="Verdana"/>
          <w:sz w:val="20"/>
          <w:szCs w:val="20"/>
          <w:lang w:val="es-ES"/>
        </w:rPr>
        <w:t xml:space="preserve"> manuscrito. En metodología, se trata de un estudio longitudinal </w:t>
      </w:r>
      <w:proofErr w:type="spellStart"/>
      <w:r w:rsidRPr="002A71DB">
        <w:rPr>
          <w:rFonts w:ascii="Verdana" w:hAnsi="Verdana"/>
          <w:sz w:val="20"/>
          <w:szCs w:val="20"/>
          <w:lang w:val="es-ES"/>
        </w:rPr>
        <w:t>ambispectivo</w:t>
      </w:r>
      <w:proofErr w:type="spellEnd"/>
      <w:r w:rsidRPr="002A71DB">
        <w:rPr>
          <w:rFonts w:ascii="Verdana" w:hAnsi="Verdana"/>
          <w:sz w:val="20"/>
          <w:szCs w:val="20"/>
          <w:lang w:val="es-ES"/>
        </w:rPr>
        <w:t xml:space="preserve"> con seguimiento de 9 años en 75 pacientes, aspecto positivo porque permite observar evolución temporal y no solo datos transversales.</w:t>
      </w:r>
      <w:r w:rsidRPr="002A71DB">
        <w:rPr>
          <w:rFonts w:ascii="Verdana" w:hAnsi="Verdana"/>
          <w:sz w:val="20"/>
          <w:szCs w:val="20"/>
          <w:vertAlign w:val="superscript"/>
          <w:lang w:val="es-ES"/>
        </w:rPr>
        <w:t>1</w:t>
      </w:r>
      <w:r w:rsidRPr="002A71DB">
        <w:rPr>
          <w:rFonts w:ascii="Verdana" w:hAnsi="Verdana"/>
          <w:sz w:val="20"/>
          <w:szCs w:val="20"/>
          <w:lang w:val="es-ES"/>
        </w:rPr>
        <w:t xml:space="preserve"> Además, las variables clínicas y analíticas</w:t>
      </w:r>
      <w:r w:rsidRPr="002A71DB">
        <w:rPr>
          <w:rFonts w:ascii="Verdana" w:hAnsi="Verdana"/>
          <w:sz w:val="20"/>
          <w:szCs w:val="20"/>
          <w:lang w:val="es-ES"/>
        </w:rPr>
        <w:t>, así como los criterios diagnósticos empleados, aparecen suficientemente descritos.</w:t>
      </w:r>
    </w:p>
    <w:p w:rsidR="009E0AB6" w:rsidRPr="002A71DB" w:rsidRDefault="002A71DB">
      <w:pPr>
        <w:spacing w:after="60" w:line="252" w:lineRule="auto"/>
        <w:jc w:val="both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sz w:val="20"/>
          <w:szCs w:val="20"/>
          <w:lang w:val="es-ES"/>
        </w:rPr>
        <w:t>Como aspectos fuertes, destacan la organización del manuscrito, la claridad en la exposición de resultados y el apoyo en tablas, que facilitan la lectura. La discusión rel</w:t>
      </w:r>
      <w:r w:rsidRPr="002A71DB">
        <w:rPr>
          <w:rFonts w:ascii="Verdana" w:hAnsi="Verdana"/>
          <w:sz w:val="20"/>
          <w:szCs w:val="20"/>
          <w:lang w:val="es-ES"/>
        </w:rPr>
        <w:t xml:space="preserve">aciona los hallazgos con estudios previos y los autores reconocen limitaciones relevantes, como el tamaño </w:t>
      </w:r>
      <w:proofErr w:type="spellStart"/>
      <w:r w:rsidRPr="002A71DB">
        <w:rPr>
          <w:rFonts w:ascii="Verdana" w:hAnsi="Verdana"/>
          <w:sz w:val="20"/>
          <w:szCs w:val="20"/>
          <w:lang w:val="es-ES"/>
        </w:rPr>
        <w:t>muestral</w:t>
      </w:r>
      <w:proofErr w:type="spellEnd"/>
      <w:r w:rsidRPr="002A71DB">
        <w:rPr>
          <w:rFonts w:ascii="Verdana" w:hAnsi="Verdana"/>
          <w:sz w:val="20"/>
          <w:szCs w:val="20"/>
          <w:lang w:val="es-ES"/>
        </w:rPr>
        <w:t>, la ausencia de grupo control y la falta de recogida sistemática de variables como ejercicio físico o composición de la dieta.</w:t>
      </w:r>
      <w:r w:rsidRPr="002A71DB">
        <w:rPr>
          <w:rFonts w:ascii="Verdana" w:hAnsi="Verdana"/>
          <w:sz w:val="20"/>
          <w:szCs w:val="20"/>
          <w:vertAlign w:val="superscript"/>
          <w:lang w:val="es-ES"/>
        </w:rPr>
        <w:t>1</w:t>
      </w:r>
      <w:r w:rsidRPr="002A71DB">
        <w:rPr>
          <w:rFonts w:ascii="Verdana" w:hAnsi="Verdana"/>
          <w:sz w:val="20"/>
          <w:szCs w:val="20"/>
          <w:lang w:val="es-ES"/>
        </w:rPr>
        <w:t xml:space="preserve"> Esto aporta t</w:t>
      </w:r>
      <w:r w:rsidRPr="002A71DB">
        <w:rPr>
          <w:rFonts w:ascii="Verdana" w:hAnsi="Verdana"/>
          <w:sz w:val="20"/>
          <w:szCs w:val="20"/>
          <w:lang w:val="es-ES"/>
        </w:rPr>
        <w:t>ransparencia metodológica.</w:t>
      </w:r>
    </w:p>
    <w:p w:rsidR="009E0AB6" w:rsidRPr="002A71DB" w:rsidRDefault="002A71DB">
      <w:pPr>
        <w:spacing w:after="60" w:line="252" w:lineRule="auto"/>
        <w:jc w:val="both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sz w:val="20"/>
          <w:szCs w:val="20"/>
          <w:lang w:val="es-ES"/>
        </w:rPr>
        <w:t>En conjunto, es un artículo formalmente correcto, bien estructurado y con conclusiones prudentes, ajustadas a los resultados obtenidos. Su principal fortaleza es el seguimiento prolongado de una cohorte pediátrica española; su pr</w:t>
      </w:r>
      <w:r w:rsidRPr="002A71DB">
        <w:rPr>
          <w:rFonts w:ascii="Verdana" w:hAnsi="Verdana"/>
          <w:sz w:val="20"/>
          <w:szCs w:val="20"/>
          <w:lang w:val="es-ES"/>
        </w:rPr>
        <w:t>incipal debilidad, la limitada capacidad de generalización derivada del diseño observacional y del tamaño de la muestra.</w:t>
      </w:r>
    </w:p>
    <w:p w:rsidR="009E0AB6" w:rsidRPr="002A71DB" w:rsidRDefault="002A71DB">
      <w:pPr>
        <w:spacing w:before="80" w:after="40"/>
        <w:rPr>
          <w:rFonts w:ascii="Verdana" w:hAnsi="Verdana"/>
          <w:sz w:val="20"/>
          <w:szCs w:val="20"/>
          <w:lang w:val="es-ES"/>
        </w:rPr>
      </w:pPr>
      <w:r w:rsidRPr="002A71DB">
        <w:rPr>
          <w:rFonts w:ascii="Verdana" w:hAnsi="Verdana"/>
          <w:b/>
          <w:color w:val="1F4E79"/>
          <w:sz w:val="20"/>
          <w:szCs w:val="20"/>
          <w:lang w:val="es-ES"/>
        </w:rPr>
        <w:t>Referencias (Vancouver)</w:t>
      </w:r>
    </w:p>
    <w:p w:rsidR="009E0AB6" w:rsidRPr="002A71DB" w:rsidRDefault="002A71DB">
      <w:pPr>
        <w:spacing w:after="0"/>
        <w:ind w:left="227" w:hanging="227"/>
        <w:rPr>
          <w:rFonts w:ascii="Verdana" w:hAnsi="Verdana"/>
          <w:sz w:val="20"/>
          <w:szCs w:val="20"/>
        </w:rPr>
      </w:pPr>
      <w:r w:rsidRPr="002A71DB">
        <w:rPr>
          <w:rFonts w:ascii="Verdana" w:hAnsi="Verdana"/>
          <w:sz w:val="20"/>
          <w:szCs w:val="20"/>
          <w:lang w:val="es-ES"/>
        </w:rPr>
        <w:t xml:space="preserve">1. </w:t>
      </w:r>
      <w:proofErr w:type="spellStart"/>
      <w:r w:rsidRPr="002A71DB">
        <w:rPr>
          <w:rFonts w:ascii="Verdana" w:hAnsi="Verdana"/>
          <w:sz w:val="20"/>
          <w:szCs w:val="20"/>
          <w:lang w:val="es-ES"/>
        </w:rPr>
        <w:t>Golmayo</w:t>
      </w:r>
      <w:proofErr w:type="spellEnd"/>
      <w:r w:rsidRPr="002A71DB">
        <w:rPr>
          <w:rFonts w:ascii="Verdana" w:hAnsi="Verdana"/>
          <w:sz w:val="20"/>
          <w:szCs w:val="20"/>
          <w:lang w:val="es-ES"/>
        </w:rPr>
        <w:t xml:space="preserve"> </w:t>
      </w:r>
      <w:proofErr w:type="spellStart"/>
      <w:r w:rsidRPr="002A71DB">
        <w:rPr>
          <w:rFonts w:ascii="Verdana" w:hAnsi="Verdana"/>
          <w:sz w:val="20"/>
          <w:szCs w:val="20"/>
          <w:lang w:val="es-ES"/>
        </w:rPr>
        <w:t>Gaztelu</w:t>
      </w:r>
      <w:proofErr w:type="spellEnd"/>
      <w:r w:rsidRPr="002A71DB">
        <w:rPr>
          <w:rFonts w:ascii="Verdana" w:hAnsi="Verdana"/>
          <w:sz w:val="20"/>
          <w:szCs w:val="20"/>
          <w:lang w:val="es-ES"/>
        </w:rPr>
        <w:t xml:space="preserve"> L, Ros Pérez P, Alonso Blanco M, Martín-Frías M, Barrio Castellanos R. Factores de riesgo ca</w:t>
      </w:r>
      <w:r w:rsidRPr="002A71DB">
        <w:rPr>
          <w:rFonts w:ascii="Verdana" w:hAnsi="Verdana"/>
          <w:sz w:val="20"/>
          <w:szCs w:val="20"/>
          <w:lang w:val="es-ES"/>
        </w:rPr>
        <w:t xml:space="preserve">rdiovascular en niños y adolescentes españoles con diabetes mellitus tipo 1: evolución a lo largo de 9 años. </w:t>
      </w:r>
      <w:r w:rsidRPr="002A71DB">
        <w:rPr>
          <w:rFonts w:ascii="Verdana" w:hAnsi="Verdana"/>
          <w:sz w:val="20"/>
          <w:szCs w:val="20"/>
        </w:rPr>
        <w:t xml:space="preserve">An </w:t>
      </w:r>
      <w:proofErr w:type="spellStart"/>
      <w:r w:rsidRPr="002A71DB">
        <w:rPr>
          <w:rFonts w:ascii="Verdana" w:hAnsi="Verdana"/>
          <w:sz w:val="20"/>
          <w:szCs w:val="20"/>
        </w:rPr>
        <w:t>Pediatr</w:t>
      </w:r>
      <w:proofErr w:type="spellEnd"/>
      <w:r w:rsidRPr="002A71DB">
        <w:rPr>
          <w:rFonts w:ascii="Verdana" w:hAnsi="Verdana"/>
          <w:sz w:val="20"/>
          <w:szCs w:val="20"/>
        </w:rPr>
        <w:t xml:space="preserve"> (</w:t>
      </w:r>
      <w:proofErr w:type="spellStart"/>
      <w:r w:rsidRPr="002A71DB">
        <w:rPr>
          <w:rFonts w:ascii="Verdana" w:hAnsi="Verdana"/>
          <w:sz w:val="20"/>
          <w:szCs w:val="20"/>
        </w:rPr>
        <w:t>Barc</w:t>
      </w:r>
      <w:proofErr w:type="spellEnd"/>
      <w:r w:rsidRPr="002A71DB">
        <w:rPr>
          <w:rFonts w:ascii="Verdana" w:hAnsi="Verdana"/>
          <w:sz w:val="20"/>
          <w:szCs w:val="20"/>
        </w:rPr>
        <w:t>). 2015;83(1)</w:t>
      </w:r>
      <w:bookmarkStart w:id="0" w:name="_GoBack"/>
      <w:bookmarkEnd w:id="0"/>
      <w:r w:rsidRPr="002A71DB">
        <w:rPr>
          <w:rFonts w:ascii="Verdana" w:hAnsi="Verdana"/>
          <w:sz w:val="20"/>
          <w:szCs w:val="20"/>
        </w:rPr>
        <w:t>:40-46.</w:t>
      </w:r>
    </w:p>
    <w:sectPr w:rsidR="009E0AB6" w:rsidRPr="002A71DB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71DB"/>
    <w:rsid w:val="00326F90"/>
    <w:rsid w:val="009E0A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9B4933"/>
  <w14:defaultImageDpi w14:val="300"/>
  <w15:docId w15:val="{265E373F-56E6-4BA5-886F-AD4D5C5A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DBEC2F-D472-4F47-B622-0265AF815B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Borja Martínez Gutiérrez</cp:lastModifiedBy>
  <cp:revision>2</cp:revision>
  <dcterms:created xsi:type="dcterms:W3CDTF">2026-04-21T20:54:00Z</dcterms:created>
  <dcterms:modified xsi:type="dcterms:W3CDTF">2026-04-21T20:54:00Z</dcterms:modified>
  <cp:category/>
</cp:coreProperties>
</file>